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5844"/>
        </w:tabs>
        <w:snapToGrid w:val="0"/>
        <w:spacing w:line="360" w:lineRule="auto"/>
        <w:jc w:val="center"/>
        <w:rPr>
          <w:rFonts w:ascii="微软雅黑" w:hAnsi="微软雅黑" w:eastAsia="微软雅黑" w:cs="宋体"/>
          <w:b/>
          <w:kern w:val="0"/>
          <w:sz w:val="28"/>
          <w:szCs w:val="32"/>
        </w:rPr>
      </w:pPr>
      <w:r>
        <w:rPr>
          <w:rFonts w:hint="eastAsia" w:ascii="微软雅黑" w:hAnsi="微软雅黑" w:eastAsia="微软雅黑" w:cs="宋体"/>
          <w:b/>
          <w:kern w:val="0"/>
          <w:sz w:val="28"/>
          <w:szCs w:val="32"/>
          <w:lang w:val="en-US" w:eastAsia="zh-CN"/>
        </w:rPr>
        <w:t>象道物流</w:t>
      </w:r>
      <w:r>
        <w:rPr>
          <w:rFonts w:hint="eastAsia" w:ascii="微软雅黑" w:hAnsi="微软雅黑" w:eastAsia="微软雅黑" w:cs="宋体"/>
          <w:b/>
          <w:kern w:val="0"/>
          <w:sz w:val="28"/>
          <w:szCs w:val="32"/>
        </w:rPr>
        <w:t>202</w:t>
      </w:r>
      <w:r>
        <w:rPr>
          <w:rFonts w:hint="eastAsia" w:ascii="微软雅黑" w:hAnsi="微软雅黑" w:eastAsia="微软雅黑" w:cs="宋体"/>
          <w:b/>
          <w:kern w:val="0"/>
          <w:sz w:val="28"/>
          <w:szCs w:val="32"/>
          <w:lang w:val="en-US" w:eastAsia="zh-CN"/>
        </w:rPr>
        <w:t>2</w:t>
      </w:r>
      <w:r>
        <w:rPr>
          <w:rFonts w:hint="eastAsia" w:ascii="微软雅黑" w:hAnsi="微软雅黑" w:eastAsia="微软雅黑" w:cs="宋体"/>
          <w:b/>
          <w:kern w:val="0"/>
          <w:sz w:val="28"/>
          <w:szCs w:val="32"/>
        </w:rPr>
        <w:t>届</w:t>
      </w:r>
      <w:r>
        <w:rPr>
          <w:rFonts w:hint="eastAsia" w:ascii="微软雅黑" w:hAnsi="微软雅黑" w:eastAsia="微软雅黑" w:cs="宋体"/>
          <w:b/>
          <w:kern w:val="0"/>
          <w:sz w:val="28"/>
          <w:szCs w:val="32"/>
          <w:lang w:eastAsia="zh-CN"/>
        </w:rPr>
        <w:t>秋</w:t>
      </w:r>
      <w:r>
        <w:rPr>
          <w:rFonts w:hint="eastAsia" w:ascii="微软雅黑" w:hAnsi="微软雅黑" w:eastAsia="微软雅黑" w:cs="宋体"/>
          <w:b/>
          <w:kern w:val="0"/>
          <w:sz w:val="28"/>
          <w:szCs w:val="32"/>
        </w:rPr>
        <w:t>季校园招聘简章</w:t>
      </w:r>
    </w:p>
    <w:p>
      <w:pPr>
        <w:widowControl/>
        <w:snapToGrid w:val="0"/>
        <w:spacing w:line="360" w:lineRule="auto"/>
        <w:ind w:firstLine="420" w:firstLineChars="200"/>
        <w:jc w:val="left"/>
        <w:rPr>
          <w:rFonts w:ascii="微软雅黑" w:hAnsi="微软雅黑" w:eastAsia="微软雅黑" w:cs="宋体"/>
          <w:kern w:val="0"/>
          <w:szCs w:val="21"/>
        </w:rPr>
      </w:pPr>
    </w:p>
    <w:p>
      <w:pPr>
        <w:widowControl/>
        <w:numPr>
          <w:ilvl w:val="0"/>
          <w:numId w:val="1"/>
        </w:numPr>
        <w:snapToGrid w:val="0"/>
        <w:spacing w:line="360" w:lineRule="auto"/>
        <w:ind w:firstLine="420" w:firstLineChars="200"/>
        <w:jc w:val="left"/>
        <w:rPr>
          <w:rFonts w:hint="eastAsia" w:ascii="微软雅黑" w:hAnsi="微软雅黑" w:eastAsia="微软雅黑" w:cs="宋体"/>
          <w:b/>
          <w:kern w:val="0"/>
          <w:szCs w:val="21"/>
          <w:lang w:val="en-US" w:eastAsia="zh-CN"/>
        </w:rPr>
      </w:pPr>
      <w:r>
        <w:rPr>
          <w:rFonts w:hint="eastAsia" w:ascii="微软雅黑" w:hAnsi="微软雅黑" w:eastAsia="微软雅黑" w:cs="宋体"/>
          <w:b/>
          <w:kern w:val="0"/>
          <w:szCs w:val="21"/>
        </w:rPr>
        <w:t>关于</w:t>
      </w:r>
      <w:r>
        <w:rPr>
          <w:rFonts w:hint="eastAsia" w:ascii="微软雅黑" w:hAnsi="微软雅黑" w:eastAsia="微软雅黑" w:cs="宋体"/>
          <w:b/>
          <w:kern w:val="0"/>
          <w:szCs w:val="21"/>
          <w:lang w:val="en-US" w:eastAsia="zh-CN"/>
        </w:rPr>
        <w:t>象道物流</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宋体"/>
          <w:kern w:val="0"/>
          <w:sz w:val="21"/>
          <w:szCs w:val="21"/>
          <w:lang w:val="en-US" w:eastAsia="zh-CN" w:bidi="ar-SA"/>
        </w:rPr>
      </w:pPr>
      <w:r>
        <w:rPr>
          <w:rFonts w:hint="eastAsia" w:ascii="微软雅黑" w:hAnsi="微软雅黑" w:eastAsia="微软雅黑" w:cs="宋体"/>
          <w:kern w:val="0"/>
          <w:sz w:val="21"/>
          <w:szCs w:val="21"/>
          <w:lang w:val="en-US" w:eastAsia="zh-CN" w:bidi="ar-SA"/>
        </w:rPr>
        <w:t>象道物流集团有限公司成立于2017年6月5日，注册（实收）资本18亿元人民币，是上市公司厦门象屿股份有限公司旗下核心成员企业。公司依托股东方厦门象屿股份有限公司、厦门五店港物流供应链有限公司完善的铁路物流服务网络以及良好的资金、资信优势和管理经验，旨在打造物流、商流、资金流、信息流四流合一的一体化流通服务平台，发展为汇聚公铁运输、多式联运、仓储配送、供应链金融等服务于一体的现代物流产业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微软雅黑" w:hAnsi="微软雅黑" w:eastAsia="微软雅黑" w:cs="宋体"/>
          <w:kern w:val="0"/>
          <w:sz w:val="21"/>
          <w:szCs w:val="21"/>
          <w:lang w:val="en-US" w:eastAsia="zh-CN" w:bidi="ar-SA"/>
        </w:rPr>
      </w:pPr>
      <w:r>
        <w:rPr>
          <w:rFonts w:hint="eastAsia" w:ascii="微软雅黑" w:hAnsi="微软雅黑" w:eastAsia="微软雅黑" w:cs="宋体"/>
          <w:kern w:val="0"/>
          <w:sz w:val="21"/>
          <w:szCs w:val="21"/>
          <w:lang w:val="en-US" w:eastAsia="zh-CN" w:bidi="ar-SA"/>
        </w:rPr>
        <w:t>公司以完善的铁路物流网络为基础，以自备集装箱为载体，以自动化信息系统为手段，整合汽运和水运资源，优化资源配置，创新物流服务模式，并逐步融入信息化技术，为中国铝、煤炭、建筑材料等多行业客户提供个性化的物流解决方案。</w:t>
      </w:r>
    </w:p>
    <w:p>
      <w:pPr>
        <w:widowControl/>
        <w:snapToGrid w:val="0"/>
        <w:spacing w:line="360" w:lineRule="auto"/>
        <w:ind w:firstLine="420" w:firstLineChars="200"/>
        <w:jc w:val="left"/>
        <w:rPr>
          <w:rFonts w:hint="eastAsia" w:ascii="微软雅黑" w:hAnsi="微软雅黑" w:eastAsia="微软雅黑" w:cs="宋体"/>
          <w:b/>
          <w:kern w:val="0"/>
          <w:szCs w:val="21"/>
          <w:lang w:val="en-US" w:eastAsia="zh-CN"/>
        </w:rPr>
      </w:pPr>
    </w:p>
    <w:p>
      <w:pPr>
        <w:widowControl/>
        <w:snapToGrid w:val="0"/>
        <w:spacing w:line="360" w:lineRule="auto"/>
        <w:ind w:firstLine="420" w:firstLineChars="200"/>
        <w:jc w:val="left"/>
        <w:rPr>
          <w:rFonts w:hint="default" w:ascii="微软雅黑" w:hAnsi="微软雅黑" w:eastAsia="微软雅黑" w:cs="宋体"/>
          <w:b/>
          <w:kern w:val="0"/>
          <w:szCs w:val="21"/>
          <w:lang w:val="en-US" w:eastAsia="zh-CN"/>
        </w:rPr>
      </w:pPr>
      <w:r>
        <w:rPr>
          <w:rFonts w:hint="eastAsia" w:ascii="微软雅黑" w:hAnsi="微软雅黑" w:eastAsia="微软雅黑" w:cs="宋体"/>
          <w:b/>
          <w:kern w:val="0"/>
          <w:szCs w:val="21"/>
          <w:lang w:val="en-US" w:eastAsia="zh-CN"/>
        </w:rPr>
        <w:t>二</w:t>
      </w:r>
      <w:r>
        <w:rPr>
          <w:rFonts w:hint="eastAsia" w:ascii="微软雅黑" w:hAnsi="微软雅黑" w:eastAsia="微软雅黑" w:cs="宋体"/>
          <w:b/>
          <w:kern w:val="0"/>
          <w:szCs w:val="21"/>
        </w:rPr>
        <w:t>、关于</w:t>
      </w:r>
      <w:r>
        <w:rPr>
          <w:rFonts w:hint="eastAsia" w:ascii="微软雅黑" w:hAnsi="微软雅黑" w:eastAsia="微软雅黑" w:cs="宋体"/>
          <w:b/>
          <w:kern w:val="0"/>
          <w:szCs w:val="21"/>
          <w:lang w:val="en-US" w:eastAsia="zh-CN"/>
        </w:rPr>
        <w:t>股东：象屿股份</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宋体"/>
          <w:kern w:val="0"/>
          <w:szCs w:val="21"/>
        </w:rPr>
      </w:pPr>
      <w:r>
        <w:rPr>
          <w:rFonts w:hint="eastAsia" w:ascii="微软雅黑" w:hAnsi="微软雅黑" w:eastAsia="微软雅黑" w:cs="宋体"/>
          <w:kern w:val="0"/>
          <w:szCs w:val="21"/>
        </w:rPr>
        <w:t>厦门象屿股份有限公司由财富世界五百强象屿集团旗下所有供应链服务相关子公司重组而成。</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宋体"/>
          <w:kern w:val="0"/>
          <w:szCs w:val="21"/>
        </w:rPr>
      </w:pPr>
      <w:r>
        <w:rPr>
          <w:rFonts w:hint="eastAsia" w:ascii="微软雅黑" w:hAnsi="微软雅黑" w:eastAsia="微软雅黑" w:cs="宋体"/>
          <w:kern w:val="0"/>
          <w:szCs w:val="21"/>
        </w:rPr>
        <w:t>2011年8月29日在上海证券交易所重组上市（股票代码：600057）。公司以“成为世界一流的供应链服务企业”为愿景，坚持“立足供应链?服务产业链?创造价值链”的战略思维，通过物流、商流、资金流、信息流四流合一的一体化流通服务平台，为客户提供从原辅材料与半成品的采购供应直至产成品的分拨配送之间的全价值链流通服务，已形成农林产品、能源化工、金属矿产等大宗商品供应链服务体系，并探索布局新能源材料、粮食深加工等新兴领域，核心优势品种业务量名列行业前茅。</w:t>
      </w:r>
    </w:p>
    <w:p>
      <w:pPr>
        <w:widowControl/>
        <w:snapToGrid w:val="0"/>
        <w:spacing w:line="360" w:lineRule="auto"/>
        <w:ind w:firstLine="420" w:firstLineChars="200"/>
        <w:jc w:val="left"/>
        <w:rPr>
          <w:rFonts w:ascii="微软雅黑" w:hAnsi="微软雅黑" w:eastAsia="微软雅黑" w:cs="宋体"/>
          <w:b/>
          <w:kern w:val="0"/>
          <w:szCs w:val="21"/>
        </w:rPr>
      </w:pPr>
      <w:r>
        <w:rPr>
          <w:rFonts w:hint="eastAsia" w:ascii="微软雅黑" w:hAnsi="微软雅黑" w:eastAsia="微软雅黑" w:cs="宋体"/>
          <w:b/>
          <w:kern w:val="0"/>
          <w:szCs w:val="21"/>
        </w:rPr>
        <w:br w:type="page"/>
      </w:r>
    </w:p>
    <w:p>
      <w:pPr>
        <w:widowControl/>
        <w:numPr>
          <w:ilvl w:val="0"/>
          <w:numId w:val="2"/>
        </w:numPr>
        <w:snapToGrid w:val="0"/>
        <w:spacing w:line="360" w:lineRule="auto"/>
        <w:ind w:firstLine="525" w:firstLineChars="250"/>
        <w:jc w:val="left"/>
        <w:rPr>
          <w:rFonts w:hint="eastAsia" w:ascii="微软雅黑" w:hAnsi="微软雅黑" w:eastAsia="微软雅黑" w:cs="宋体"/>
          <w:b/>
          <w:kern w:val="0"/>
          <w:szCs w:val="21"/>
          <w:highlight w:val="none"/>
          <w:lang w:val="en-US" w:eastAsia="zh-CN"/>
        </w:rPr>
      </w:pPr>
      <w:r>
        <w:rPr>
          <w:rFonts w:hint="eastAsia" w:ascii="微软雅黑" w:hAnsi="微软雅黑" w:eastAsia="微软雅黑" w:cs="宋体"/>
          <w:b/>
          <w:kern w:val="0"/>
          <w:szCs w:val="21"/>
          <w:highlight w:val="none"/>
        </w:rPr>
        <w:t>岗位需求</w:t>
      </w:r>
    </w:p>
    <w:tbl>
      <w:tblPr>
        <w:tblStyle w:val="3"/>
        <w:tblW w:w="9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7"/>
        <w:gridCol w:w="1370"/>
        <w:gridCol w:w="4826"/>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岗位类别</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工作地点</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业务类</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咸阳、三门峡、安阳、高安、息烽、湖南、榆林</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物流管理、市场营销、经济类优先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业务辅助方向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安阳、高安、巩义、息烽、青海、新疆、榆林</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物流管理、工商管理、经济类优先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117" w:type="dxa"/>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职能类</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安全管理方向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安全、工程类优先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117" w:type="dxa"/>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设备管理方向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机械设备类优先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投资管理方向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金融、财务、工商管理、经济类优先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117" w:type="dxa"/>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产业研究方向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铁路物流规划类优先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117" w:type="dxa"/>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息烽</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财务管理、会计类优先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生产管理类</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调度内勤方向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咸阳、三门峡、安阳、高安、巩义、湖南、新疆、榆林</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物流管理、工商管理、经济类优先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生产一线类</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调度外勤方向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咸阳、三门峡、安阳、高安、湖南、新疆、榆林</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物流管理、工商管理、经济类优先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轨道交通、自动化控制、铁路信号类优先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象屿同道</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业务辅助方向</w:t>
            </w:r>
          </w:p>
        </w:tc>
        <w:tc>
          <w:tcPr>
            <w:tcW w:w="48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厦门、山东、云南、贵州、四川</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物流管理、经济类优先</w:t>
            </w:r>
          </w:p>
        </w:tc>
      </w:tr>
    </w:tbl>
    <w:p>
      <w:pPr>
        <w:wordWrap w:val="0"/>
        <w:snapToGrid w:val="0"/>
        <w:spacing w:line="360" w:lineRule="auto"/>
        <w:jc w:val="right"/>
        <w:rPr>
          <w:rFonts w:hint="eastAsia" w:ascii="微软雅黑" w:hAnsi="微软雅黑" w:eastAsia="微软雅黑" w:cs="宋体"/>
          <w:b/>
          <w:kern w:val="0"/>
          <w:szCs w:val="21"/>
          <w:lang w:eastAsia="zh-CN"/>
        </w:rPr>
      </w:pPr>
      <w:r>
        <w:rPr>
          <w:rFonts w:hint="eastAsia" w:ascii="微软雅黑" w:hAnsi="微软雅黑" w:eastAsia="微软雅黑" w:cs="宋体"/>
          <w:kern w:val="0"/>
          <w:szCs w:val="21"/>
        </w:rPr>
        <w:t xml:space="preserve">      </w:t>
      </w:r>
      <w:r>
        <w:rPr>
          <w:rFonts w:hint="eastAsia" w:ascii="微软雅黑" w:hAnsi="微软雅黑" w:eastAsia="微软雅黑" w:cs="宋体"/>
          <w:kern w:val="0"/>
          <w:sz w:val="18"/>
          <w:szCs w:val="18"/>
          <w:lang w:eastAsia="zh-CN"/>
        </w:rPr>
        <w:t>备注：</w:t>
      </w:r>
      <w:r>
        <w:rPr>
          <w:rFonts w:hint="eastAsia" w:ascii="微软雅黑" w:hAnsi="微软雅黑" w:eastAsia="微软雅黑" w:cs="宋体"/>
          <w:kern w:val="0"/>
          <w:sz w:val="18"/>
          <w:szCs w:val="18"/>
        </w:rPr>
        <w:t>具体岗位及工作地点详见网申发布信息</w:t>
      </w:r>
      <w:r>
        <w:rPr>
          <w:rFonts w:hint="eastAsia" w:ascii="微软雅黑" w:hAnsi="微软雅黑" w:eastAsia="微软雅黑" w:cs="宋体"/>
          <w:kern w:val="0"/>
          <w:sz w:val="18"/>
          <w:szCs w:val="18"/>
          <w:lang w:eastAsia="zh-CN"/>
        </w:rPr>
        <w:t>。</w:t>
      </w:r>
    </w:p>
    <w:p>
      <w:pPr>
        <w:numPr>
          <w:ilvl w:val="0"/>
          <w:numId w:val="2"/>
        </w:numPr>
        <w:snapToGrid w:val="0"/>
        <w:spacing w:line="360" w:lineRule="auto"/>
        <w:ind w:left="0" w:leftChars="0" w:firstLine="525" w:firstLineChars="250"/>
        <w:rPr>
          <w:rFonts w:hint="eastAsia" w:ascii="微软雅黑" w:hAnsi="微软雅黑" w:eastAsia="微软雅黑" w:cs="宋体"/>
          <w:b/>
          <w:kern w:val="0"/>
          <w:szCs w:val="21"/>
          <w:highlight w:val="none"/>
          <w:lang w:val="en-US" w:eastAsia="zh-CN"/>
        </w:rPr>
      </w:pPr>
      <w:r>
        <w:rPr>
          <w:rFonts w:hint="eastAsia" w:ascii="微软雅黑" w:hAnsi="微软雅黑" w:eastAsia="微软雅黑" w:cs="宋体"/>
          <w:b/>
          <w:kern w:val="0"/>
          <w:szCs w:val="21"/>
          <w:highlight w:val="none"/>
          <w:lang w:val="en-US" w:eastAsia="zh-CN"/>
        </w:rPr>
        <w:t>晋升方式</w:t>
      </w:r>
    </w:p>
    <w:p>
      <w:pPr>
        <w:numPr>
          <w:ilvl w:val="0"/>
          <w:numId w:val="0"/>
        </w:numPr>
        <w:snapToGrid w:val="0"/>
        <w:spacing w:line="360" w:lineRule="auto"/>
        <w:ind w:leftChars="250"/>
        <w:jc w:val="center"/>
        <w:rPr>
          <w:rFonts w:hint="eastAsia" w:ascii="微软雅黑" w:hAnsi="微软雅黑" w:eastAsia="微软雅黑" w:cs="宋体"/>
          <w:b/>
          <w:kern w:val="0"/>
          <w:szCs w:val="21"/>
          <w:highlight w:val="none"/>
          <w:lang w:val="en-US" w:eastAsia="zh-CN"/>
        </w:rPr>
      </w:pPr>
      <w:r>
        <w:rPr>
          <w:rFonts w:hint="eastAsia" w:ascii="微软雅黑" w:hAnsi="微软雅黑" w:eastAsia="微软雅黑" w:cs="宋体"/>
          <w:b/>
          <w:kern w:val="0"/>
          <w:szCs w:val="21"/>
          <w:highlight w:val="none"/>
          <w:lang w:val="en-US" w:eastAsia="zh-CN"/>
        </w:rPr>
        <w:drawing>
          <wp:inline distT="0" distB="0" distL="114300" distR="114300">
            <wp:extent cx="5274310" cy="2469515"/>
            <wp:effectExtent l="0" t="0" r="0" b="0"/>
            <wp:docPr id="3" name="图片 3" descr="晋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晋升"/>
                    <pic:cNvPicPr>
                      <a:picLocks noChangeAspect="1"/>
                    </pic:cNvPicPr>
                  </pic:nvPicPr>
                  <pic:blipFill>
                    <a:blip r:embed="rId4"/>
                    <a:stretch>
                      <a:fillRect/>
                    </a:stretch>
                  </pic:blipFill>
                  <pic:spPr>
                    <a:xfrm>
                      <a:off x="0" y="0"/>
                      <a:ext cx="5274310" cy="2469515"/>
                    </a:xfrm>
                    <a:prstGeom prst="rect">
                      <a:avLst/>
                    </a:prstGeom>
                  </pic:spPr>
                </pic:pic>
              </a:graphicData>
            </a:graphic>
          </wp:inline>
        </w:drawing>
      </w:r>
    </w:p>
    <w:p>
      <w:pPr>
        <w:widowControl w:val="0"/>
        <w:numPr>
          <w:ilvl w:val="0"/>
          <w:numId w:val="0"/>
        </w:numPr>
        <w:snapToGrid w:val="0"/>
        <w:spacing w:line="360" w:lineRule="auto"/>
        <w:jc w:val="both"/>
        <w:rPr>
          <w:rFonts w:hint="default" w:ascii="微软雅黑" w:hAnsi="微软雅黑" w:eastAsia="微软雅黑" w:cs="宋体"/>
          <w:b/>
          <w:kern w:val="0"/>
          <w:szCs w:val="21"/>
          <w:highlight w:val="none"/>
          <w:lang w:val="en-US" w:eastAsia="zh-CN"/>
        </w:rPr>
      </w:pPr>
      <w:r>
        <w:rPr>
          <w:rFonts w:hint="eastAsia" w:ascii="微软雅黑" w:hAnsi="微软雅黑" w:eastAsia="微软雅黑" w:cs="宋体"/>
          <w:b/>
          <w:kern w:val="0"/>
          <w:szCs w:val="21"/>
          <w:highlight w:val="none"/>
          <w:lang w:val="en-US" w:eastAsia="zh-CN"/>
        </w:rPr>
        <w:t xml:space="preserve">     </w:t>
      </w:r>
    </w:p>
    <w:p>
      <w:pPr>
        <w:snapToGrid w:val="0"/>
        <w:spacing w:line="360" w:lineRule="auto"/>
        <w:ind w:firstLine="420" w:firstLineChars="200"/>
        <w:rPr>
          <w:rFonts w:ascii="微软雅黑" w:hAnsi="微软雅黑" w:eastAsia="微软雅黑" w:cs="宋体"/>
          <w:b/>
          <w:kern w:val="0"/>
          <w:szCs w:val="21"/>
        </w:rPr>
      </w:pPr>
      <w:r>
        <w:rPr>
          <w:rFonts w:hint="eastAsia" w:ascii="微软雅黑" w:hAnsi="微软雅黑" w:eastAsia="微软雅黑" w:cs="宋体"/>
          <w:b/>
          <w:kern w:val="0"/>
          <w:szCs w:val="21"/>
        </w:rPr>
        <w:t>五、职位吸引力</w:t>
      </w:r>
    </w:p>
    <w:p>
      <w:pPr>
        <w:snapToGrid w:val="0"/>
        <w:spacing w:line="360" w:lineRule="auto"/>
        <w:ind w:firstLine="420" w:firstLineChars="200"/>
        <w:jc w:val="left"/>
        <w:rPr>
          <w:rFonts w:ascii="微软雅黑" w:hAnsi="微软雅黑" w:eastAsia="微软雅黑" w:cs="宋体"/>
          <w:b/>
          <w:kern w:val="0"/>
          <w:szCs w:val="21"/>
        </w:rPr>
      </w:pPr>
      <w:r>
        <w:rPr>
          <w:rFonts w:hint="eastAsia" w:ascii="微软雅黑" w:hAnsi="微软雅黑" w:eastAsia="微软雅黑" w:cs="宋体"/>
          <w:b/>
          <w:kern w:val="0"/>
          <w:szCs w:val="21"/>
        </w:rPr>
        <w:t>1、</w:t>
      </w:r>
      <w:r>
        <w:rPr>
          <w:rFonts w:hint="eastAsia" w:ascii="微软雅黑" w:hAnsi="微软雅黑" w:eastAsia="微软雅黑" w:cs="宋体"/>
          <w:b/>
          <w:kern w:val="0"/>
          <w:szCs w:val="21"/>
          <w:lang w:eastAsia="zh-CN"/>
        </w:rPr>
        <w:t>薪酬</w:t>
      </w:r>
      <w:r>
        <w:rPr>
          <w:rFonts w:hint="eastAsia" w:ascii="微软雅黑" w:hAnsi="微软雅黑" w:eastAsia="微软雅黑" w:cs="宋体"/>
          <w:b/>
          <w:kern w:val="0"/>
          <w:szCs w:val="21"/>
        </w:rPr>
        <w:t>福利：</w:t>
      </w:r>
    </w:p>
    <w:p>
      <w:pPr>
        <w:snapToGrid w:val="0"/>
        <w:spacing w:line="360" w:lineRule="auto"/>
        <w:ind w:firstLine="420" w:firstLineChars="200"/>
        <w:jc w:val="left"/>
        <w:rPr>
          <w:rFonts w:ascii="微软雅黑" w:hAnsi="微软雅黑" w:eastAsia="微软雅黑" w:cs="宋体"/>
          <w:bCs/>
          <w:kern w:val="0"/>
          <w:szCs w:val="21"/>
        </w:rPr>
      </w:pPr>
      <w:r>
        <w:rPr>
          <w:rFonts w:hint="eastAsia" w:ascii="微软雅黑" w:hAnsi="微软雅黑" w:eastAsia="微软雅黑" w:cs="宋体"/>
          <w:bCs/>
          <w:kern w:val="0"/>
          <w:szCs w:val="21"/>
        </w:rPr>
        <w:t>行业有</w:t>
      </w:r>
      <w:r>
        <w:rPr>
          <w:rFonts w:ascii="微软雅黑" w:hAnsi="微软雅黑" w:eastAsia="微软雅黑" w:cs="宋体"/>
          <w:bCs/>
          <w:kern w:val="0"/>
          <w:szCs w:val="21"/>
        </w:rPr>
        <w:t>竞争力</w:t>
      </w:r>
      <w:r>
        <w:rPr>
          <w:rFonts w:hint="eastAsia" w:ascii="微软雅黑" w:hAnsi="微软雅黑" w:eastAsia="微软雅黑" w:cs="宋体"/>
          <w:bCs/>
          <w:kern w:val="0"/>
          <w:szCs w:val="21"/>
        </w:rPr>
        <w:t>薪酬水平，按能力和业绩定薪，坚持正向激励；</w:t>
      </w:r>
    </w:p>
    <w:p>
      <w:pPr>
        <w:snapToGrid w:val="0"/>
        <w:spacing w:line="360" w:lineRule="auto"/>
        <w:ind w:firstLine="420" w:firstLineChars="200"/>
        <w:jc w:val="left"/>
        <w:rPr>
          <w:rFonts w:hint="eastAsia" w:ascii="微软雅黑" w:hAnsi="微软雅黑" w:eastAsia="微软雅黑" w:cs="宋体"/>
          <w:bCs/>
          <w:kern w:val="0"/>
          <w:szCs w:val="21"/>
        </w:rPr>
      </w:pPr>
      <w:r>
        <w:rPr>
          <w:rFonts w:hint="eastAsia" w:ascii="微软雅黑" w:hAnsi="微软雅黑" w:eastAsia="微软雅黑" w:cs="宋体"/>
          <w:bCs/>
          <w:kern w:val="0"/>
          <w:szCs w:val="21"/>
        </w:rPr>
        <w:t>多元化福利：员工餐厅、员工公寓、</w:t>
      </w:r>
      <w:r>
        <w:rPr>
          <w:rFonts w:hint="eastAsia" w:ascii="微软雅黑" w:hAnsi="微软雅黑" w:eastAsia="微软雅黑" w:cs="宋体"/>
          <w:bCs/>
          <w:kern w:val="0"/>
          <w:szCs w:val="21"/>
          <w:lang w:val="en-US" w:eastAsia="zh-CN"/>
        </w:rPr>
        <w:t>五</w:t>
      </w:r>
      <w:r>
        <w:rPr>
          <w:rFonts w:hint="eastAsia" w:ascii="微软雅黑" w:hAnsi="微软雅黑" w:eastAsia="微软雅黑" w:cs="宋体"/>
          <w:bCs/>
          <w:kern w:val="0"/>
          <w:szCs w:val="21"/>
        </w:rPr>
        <w:t>险</w:t>
      </w:r>
      <w:r>
        <w:rPr>
          <w:rFonts w:hint="eastAsia" w:ascii="微软雅黑" w:hAnsi="微软雅黑" w:eastAsia="微软雅黑" w:cs="宋体"/>
          <w:bCs/>
          <w:kern w:val="0"/>
          <w:szCs w:val="21"/>
          <w:lang w:val="en-US" w:eastAsia="zh-CN"/>
        </w:rPr>
        <w:t>一</w:t>
      </w:r>
      <w:r>
        <w:rPr>
          <w:rFonts w:hint="eastAsia" w:ascii="微软雅黑" w:hAnsi="微软雅黑" w:eastAsia="微软雅黑" w:cs="宋体"/>
          <w:bCs/>
          <w:kern w:val="0"/>
          <w:szCs w:val="21"/>
        </w:rPr>
        <w:t>金、年节福利等等！（地区间存在差异，具体以沟通为准）</w:t>
      </w:r>
    </w:p>
    <w:p>
      <w:pPr>
        <w:snapToGrid w:val="0"/>
        <w:spacing w:line="360" w:lineRule="auto"/>
        <w:ind w:firstLine="420" w:firstLineChars="200"/>
        <w:rPr>
          <w:rFonts w:ascii="微软雅黑" w:hAnsi="微软雅黑" w:eastAsia="微软雅黑" w:cs="宋体"/>
          <w:b/>
          <w:kern w:val="0"/>
          <w:szCs w:val="21"/>
        </w:rPr>
      </w:pPr>
      <w:r>
        <w:rPr>
          <w:rFonts w:hint="eastAsia" w:ascii="微软雅黑" w:hAnsi="微软雅黑" w:eastAsia="微软雅黑" w:cs="宋体"/>
          <w:b/>
          <w:kern w:val="0"/>
          <w:szCs w:val="21"/>
        </w:rPr>
        <w:t>六、投递方式及流程</w:t>
      </w:r>
    </w:p>
    <w:p>
      <w:pPr>
        <w:pStyle w:val="6"/>
        <w:ind w:left="420"/>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rPr>
        <w:t>总部地址：</w:t>
      </w:r>
      <w:r>
        <w:rPr>
          <w:rFonts w:hint="eastAsia" w:ascii="微软雅黑" w:hAnsi="微软雅黑" w:eastAsia="微软雅黑" w:cs="宋体"/>
          <w:kern w:val="0"/>
          <w:szCs w:val="21"/>
          <w:lang w:val="en-US" w:eastAsia="zh-CN"/>
        </w:rPr>
        <w:t>陕西省西安市未央区EHB企业总部大厦2607室</w:t>
      </w:r>
    </w:p>
    <w:p>
      <w:pPr>
        <w:pStyle w:val="6"/>
        <w:ind w:left="420"/>
        <w:rPr>
          <w:rFonts w:hint="eastAsia" w:ascii="微软雅黑" w:hAnsi="微软雅黑" w:eastAsia="微软雅黑" w:cs="宋体"/>
          <w:kern w:val="0"/>
          <w:szCs w:val="21"/>
        </w:rPr>
      </w:pPr>
      <w:r>
        <w:rPr>
          <w:rFonts w:hint="eastAsia" w:ascii="微软雅黑" w:hAnsi="微软雅黑" w:eastAsia="微软雅黑" w:cs="宋体"/>
          <w:kern w:val="0"/>
          <w:szCs w:val="21"/>
        </w:rPr>
        <w:t>招聘流程：线上投递——简历筛选——初试——复试——</w:t>
      </w:r>
      <w:r>
        <w:rPr>
          <w:rFonts w:hint="eastAsia" w:ascii="微软雅黑" w:hAnsi="微软雅黑" w:eastAsia="微软雅黑" w:cs="宋体"/>
          <w:kern w:val="0"/>
          <w:szCs w:val="21"/>
          <w:lang w:val="en-US" w:eastAsia="zh-CN"/>
        </w:rPr>
        <w:t>象道</w:t>
      </w:r>
      <w:r>
        <w:rPr>
          <w:rFonts w:hint="eastAsia" w:ascii="微软雅黑" w:hAnsi="微软雅黑" w:eastAsia="微软雅黑" w:cs="宋体"/>
          <w:kern w:val="0"/>
          <w:szCs w:val="21"/>
        </w:rPr>
        <w:t>offer</w:t>
      </w:r>
    </w:p>
    <w:p>
      <w:pPr>
        <w:pStyle w:val="6"/>
        <w:ind w:left="420"/>
        <w:rPr>
          <w:rFonts w:ascii="微软雅黑" w:hAnsi="微软雅黑" w:eastAsia="微软雅黑" w:cs="宋体"/>
          <w:kern w:val="0"/>
          <w:szCs w:val="21"/>
        </w:rPr>
      </w:pPr>
      <w:r>
        <w:rPr>
          <w:rFonts w:hint="eastAsia" w:ascii="微软雅黑" w:hAnsi="微软雅黑" w:eastAsia="微软雅黑" w:cs="宋体"/>
          <w:kern w:val="0"/>
          <w:szCs w:val="21"/>
          <w:lang w:val="en-US" w:eastAsia="zh-CN"/>
        </w:rPr>
        <w:t>网申</w:t>
      </w:r>
      <w:r>
        <w:rPr>
          <w:rFonts w:hint="eastAsia" w:ascii="微软雅黑" w:hAnsi="微软雅黑" w:eastAsia="微软雅黑" w:cs="宋体"/>
          <w:kern w:val="0"/>
          <w:szCs w:val="21"/>
        </w:rPr>
        <w:t>链接：</w:t>
      </w:r>
      <w:r>
        <w:rPr>
          <w:rFonts w:ascii="微软雅黑" w:hAnsi="微软雅黑" w:eastAsia="微软雅黑" w:cs="宋体"/>
          <w:kern w:val="0"/>
          <w:szCs w:val="21"/>
        </w:rPr>
        <w:t xml:space="preserve"> </w:t>
      </w:r>
    </w:p>
    <w:p>
      <w:pPr>
        <w:pStyle w:val="6"/>
        <w:ind w:left="420"/>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象道物流：</w:t>
      </w:r>
    </w:p>
    <w:p>
      <w:pPr>
        <w:pStyle w:val="6"/>
        <w:ind w:left="420"/>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网申二维码：</w:t>
      </w:r>
      <w:r>
        <w:rPr>
          <w:rFonts w:hint="default" w:ascii="微软雅黑" w:hAnsi="微软雅黑" w:eastAsia="微软雅黑" w:cs="宋体"/>
          <w:kern w:val="0"/>
          <w:szCs w:val="21"/>
          <w:lang w:val="en-US" w:eastAsia="zh-CN"/>
        </w:rPr>
        <w:drawing>
          <wp:inline distT="0" distB="0" distL="114300" distR="114300">
            <wp:extent cx="1960245" cy="1960245"/>
            <wp:effectExtent l="0" t="0" r="0" b="0"/>
            <wp:docPr id="4" name="图片 4" descr="q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1"/>
                    <pic:cNvPicPr>
                      <a:picLocks noChangeAspect="1"/>
                    </pic:cNvPicPr>
                  </pic:nvPicPr>
                  <pic:blipFill>
                    <a:blip r:embed="rId5"/>
                    <a:stretch>
                      <a:fillRect/>
                    </a:stretch>
                  </pic:blipFill>
                  <pic:spPr>
                    <a:xfrm>
                      <a:off x="0" y="0"/>
                      <a:ext cx="1960245" cy="1960245"/>
                    </a:xfrm>
                    <a:prstGeom prst="rect">
                      <a:avLst/>
                    </a:prstGeom>
                  </pic:spPr>
                </pic:pic>
              </a:graphicData>
            </a:graphic>
          </wp:inline>
        </w:drawing>
      </w:r>
    </w:p>
    <w:p>
      <w:pPr>
        <w:pStyle w:val="6"/>
        <w:ind w:left="420"/>
        <w:jc w:val="left"/>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咨询二维码：</w:t>
      </w:r>
      <w:bookmarkStart w:id="0" w:name="_GoBack"/>
      <w:r>
        <w:rPr>
          <w:rFonts w:hint="default" w:ascii="微软雅黑" w:hAnsi="微软雅黑" w:eastAsia="微软雅黑" w:cs="宋体"/>
          <w:kern w:val="0"/>
          <w:szCs w:val="21"/>
          <w:lang w:val="en-US" w:eastAsia="zh-CN"/>
        </w:rPr>
        <w:drawing>
          <wp:inline distT="0" distB="0" distL="114300" distR="114300">
            <wp:extent cx="1737360" cy="1737360"/>
            <wp:effectExtent l="0" t="0" r="0" b="0"/>
            <wp:docPr id="6" name="图片 6" descr="小号微信二维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小号微信二维码2"/>
                    <pic:cNvPicPr>
                      <a:picLocks noChangeAspect="1"/>
                    </pic:cNvPicPr>
                  </pic:nvPicPr>
                  <pic:blipFill>
                    <a:blip r:embed="rId6"/>
                    <a:stretch>
                      <a:fillRect/>
                    </a:stretch>
                  </pic:blipFill>
                  <pic:spPr>
                    <a:xfrm>
                      <a:off x="0" y="0"/>
                      <a:ext cx="1737360" cy="1737360"/>
                    </a:xfrm>
                    <a:prstGeom prst="rect">
                      <a:avLst/>
                    </a:prstGeom>
                  </pic:spPr>
                </pic:pic>
              </a:graphicData>
            </a:graphic>
          </wp:inline>
        </w:drawing>
      </w:r>
      <w:bookmarkEnd w:id="0"/>
    </w:p>
    <w:p>
      <w:pPr>
        <w:pStyle w:val="6"/>
        <w:ind w:left="420"/>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简历投递邮箱：</w:t>
      </w:r>
    </w:p>
    <w:p>
      <w:pPr>
        <w:pStyle w:val="6"/>
        <w:ind w:left="420"/>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fldChar w:fldCharType="begin"/>
      </w:r>
      <w:r>
        <w:rPr>
          <w:rFonts w:hint="eastAsia" w:ascii="微软雅黑" w:hAnsi="微软雅黑" w:eastAsia="微软雅黑" w:cs="宋体"/>
          <w:kern w:val="0"/>
          <w:szCs w:val="21"/>
          <w:lang w:val="en-US" w:eastAsia="zh-CN"/>
        </w:rPr>
        <w:instrText xml:space="preserve"> HYPERLINK "mailto:chenwj3@xiangyu.cn" </w:instrText>
      </w:r>
      <w:r>
        <w:rPr>
          <w:rFonts w:hint="eastAsia" w:ascii="微软雅黑" w:hAnsi="微软雅黑" w:eastAsia="微软雅黑" w:cs="宋体"/>
          <w:kern w:val="0"/>
          <w:szCs w:val="21"/>
          <w:lang w:val="en-US" w:eastAsia="zh-CN"/>
        </w:rPr>
        <w:fldChar w:fldCharType="separate"/>
      </w:r>
      <w:r>
        <w:rPr>
          <w:rStyle w:val="5"/>
          <w:rFonts w:hint="eastAsia" w:ascii="微软雅黑" w:hAnsi="微软雅黑" w:eastAsia="微软雅黑" w:cs="宋体"/>
          <w:kern w:val="0"/>
          <w:szCs w:val="21"/>
          <w:lang w:val="en-US" w:eastAsia="zh-CN"/>
        </w:rPr>
        <w:t>chenwj3@xiangyu.cn</w:t>
      </w:r>
      <w:r>
        <w:rPr>
          <w:rFonts w:hint="eastAsia" w:ascii="微软雅黑" w:hAnsi="微软雅黑" w:eastAsia="微软雅黑" w:cs="宋体"/>
          <w:kern w:val="0"/>
          <w:szCs w:val="21"/>
          <w:lang w:val="en-US" w:eastAsia="zh-CN"/>
        </w:rPr>
        <w:fldChar w:fldCharType="end"/>
      </w:r>
    </w:p>
    <w:p>
      <w:pPr>
        <w:pStyle w:val="6"/>
        <w:ind w:left="420"/>
      </w:pPr>
      <w:r>
        <w:rPr>
          <w:rFonts w:hint="eastAsia" w:ascii="微软雅黑" w:hAnsi="微软雅黑" w:eastAsia="微软雅黑" w:cs="宋体"/>
          <w:kern w:val="0"/>
          <w:szCs w:val="21"/>
          <w:lang w:val="en-US" w:eastAsia="zh-CN"/>
        </w:rPr>
        <w:fldChar w:fldCharType="begin"/>
      </w:r>
      <w:r>
        <w:rPr>
          <w:rFonts w:hint="eastAsia" w:ascii="微软雅黑" w:hAnsi="微软雅黑" w:eastAsia="微软雅黑" w:cs="宋体"/>
          <w:kern w:val="0"/>
          <w:szCs w:val="21"/>
          <w:lang w:val="en-US" w:eastAsia="zh-CN"/>
        </w:rPr>
        <w:instrText xml:space="preserve"> HYPERLINK "mailto:qianam@xiangyu.cn" </w:instrText>
      </w:r>
      <w:r>
        <w:rPr>
          <w:rFonts w:hint="eastAsia" w:ascii="微软雅黑" w:hAnsi="微软雅黑" w:eastAsia="微软雅黑" w:cs="宋体"/>
          <w:kern w:val="0"/>
          <w:szCs w:val="21"/>
          <w:lang w:val="en-US" w:eastAsia="zh-CN"/>
        </w:rPr>
        <w:fldChar w:fldCharType="separate"/>
      </w:r>
      <w:r>
        <w:rPr>
          <w:rStyle w:val="5"/>
          <w:rFonts w:hint="eastAsia" w:ascii="微软雅黑" w:hAnsi="微软雅黑" w:eastAsia="微软雅黑" w:cs="宋体"/>
          <w:kern w:val="0"/>
          <w:szCs w:val="21"/>
          <w:lang w:val="en-US" w:eastAsia="zh-CN"/>
        </w:rPr>
        <w:t>qianam@xiangyu.cn</w:t>
      </w:r>
      <w:r>
        <w:rPr>
          <w:rFonts w:hint="eastAsia" w:ascii="微软雅黑" w:hAnsi="微软雅黑" w:eastAsia="微软雅黑" w:cs="宋体"/>
          <w:kern w:val="0"/>
          <w:szCs w:val="21"/>
          <w:lang w:val="en-US" w:eastAsia="zh-CN"/>
        </w:rPr>
        <w:fldChar w:fldCharType="end"/>
      </w:r>
    </w:p>
    <w:sectPr>
      <w:pgSz w:w="11906" w:h="16838"/>
      <w:pgMar w:top="1134" w:right="1418" w:bottom="155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FE2A1"/>
    <w:multiLevelType w:val="singleLevel"/>
    <w:tmpl w:val="876FE2A1"/>
    <w:lvl w:ilvl="0" w:tentative="0">
      <w:start w:val="1"/>
      <w:numFmt w:val="chineseCounting"/>
      <w:suff w:val="nothing"/>
      <w:lvlText w:val="%1、"/>
      <w:lvlJc w:val="left"/>
      <w:rPr>
        <w:rFonts w:hint="eastAsia"/>
      </w:rPr>
    </w:lvl>
  </w:abstractNum>
  <w:abstractNum w:abstractNumId="1">
    <w:nsid w:val="B1CF190B"/>
    <w:multiLevelType w:val="singleLevel"/>
    <w:tmpl w:val="B1CF190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65994"/>
    <w:rsid w:val="3B934E65"/>
    <w:rsid w:val="55D63504"/>
    <w:rsid w:val="6F8D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正"/>
    <w:basedOn w:val="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2021-10-15T10:11:00Z</dcterms:created>
  <dc:creator>Administrator</dc:creator>
  <cp:lastModifiedBy>未知</cp:lastModifiedBy>
  <dcterms:modified xsi:type="dcterms:W3CDTF">2021-10-15T10:58:22Z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