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贵州商学院食堂服务质量考核细则（100分）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2245"/>
        <w:gridCol w:w="1153"/>
        <w:gridCol w:w="8647"/>
        <w:gridCol w:w="701"/>
        <w:gridCol w:w="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bookmarkStart w:id="0" w:name="_附件5：山东工商学院学生食堂食品安全要求和处罚标准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3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检查内容</w:t>
            </w:r>
          </w:p>
        </w:tc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扣分标准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一、许可管理（5分）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1.许可证是否符合规定</w:t>
            </w:r>
          </w:p>
        </w:tc>
        <w:tc>
          <w:tcPr>
            <w:tcW w:w="115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特指颁发给食堂的《食品经营许可证》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许可证超过有效期限、转让、涂改、出借、出租许可证、擅自改变许可类别、备注项目，本项不得分。★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2.超出许可的类别、备注项目范围经营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超出许可的类别、备注项目范围经营，本项不得分。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3.是否规范悬挂或摆放许可证</w:t>
            </w:r>
          </w:p>
        </w:tc>
        <w:tc>
          <w:tcPr>
            <w:tcW w:w="11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发现未悬挂或者摆放餐饮服务许可证，本项不得分。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4150" w:hRule="atLeast"/>
        </w:trPr>
        <w:tc>
          <w:tcPr>
            <w:tcW w:w="1265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二、制度建设（10分）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4.是否成立食堂管理工作领导小组，落实食堂负责人为食品安全直接责任人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5.食品安全管理制度是否健全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6.会议制度是否坚持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以下制度缺任何一项扣1分（其中日检记录缺一份扣1分）：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①食堂管理工作领导小组健全、食品安全领导小组、消防工作领导小组及职责未上墙；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②从业人员健康管理和培训管理制度；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③加工经营场所及设施设备清洁、消毒和维修保养制度；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④食品、食品添加剂、食品相关产品采购索证索票、进货查验和台账记录制度；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⑤食品添加剂管理制度；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⑥餐厨废弃物处置管理制度；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⑦食品安全突发事件应急处置方案；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⑧消防应急预案；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⑨投诉受理制度；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⑩食品安全日检制度，月检结果不公示；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333333"/>
                <w:sz w:val="18"/>
                <w:szCs w:val="18"/>
                <w:shd w:val="clear" w:color="auto" w:fill="FFFFFF"/>
              </w:rPr>
              <w:t>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从业人员晨检制度；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  <w:shd w:val="clear" w:color="auto" w:fill="FFFFFF"/>
              </w:rPr>
              <w:t>⑫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食堂例会制度，及时传达会议精神；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  <w:shd w:val="clear" w:color="auto" w:fill="FFFFFF"/>
              </w:rPr>
              <w:t>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成本核算制度。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156" w:hRule="atLeast"/>
        </w:trPr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三、人员管理（10分）</w:t>
            </w:r>
          </w:p>
        </w:tc>
        <w:tc>
          <w:tcPr>
            <w:tcW w:w="3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7.是否配备专职食品安全管理人员</w:t>
            </w:r>
          </w:p>
        </w:tc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未配备专职食品安全管理员、未经培训、无上岗证，本项不得分。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191" w:hRule="atLeast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8.是否聘用禁聘人员从事食品安全管理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发现聘用禁聘人员从事餐饮服务管理工作，本项不得分。★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9.是否建立了从业人员健康管理制度和健康档案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未建立从业人员健康档案或健康管理制度，缺一项扣1分。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①从业人员上岗前需体检合格；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②从业人员每年需体检一次；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③患有有碍食品安全疾病的人员需调离接触直接入口食品的工作岗位；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10.从业人员是否存在无健康证明的人员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发现从业人员无健康证明，缺一份扣1分。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11.是否执行晨检制度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晨检缺一项扣1分。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①发现晨检记录不全，</w:t>
            </w:r>
          </w:p>
          <w:p>
            <w:pPr>
              <w:spacing w:line="320" w:lineRule="exact"/>
              <w:ind w:firstLine="180" w:firstLine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晨检项目：①发热；②呕吐；③腹泻；④咳血；⑤咽部；⑤肺部；⑥皮肤化脓性病症。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②发现晨检结果异常，但未及时调离的。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900" w:hRule="atLeast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12.从业人员个人卫生是否符合要求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从业人员个人卫生事项不符合要求的，发现一人扣1分：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①加工食品时穿戴清洁工作服；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②加工食品时，不留长指甲、不涂指甲油、不佩带饰物；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③按规定洗手；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④专间工作人员操作时更换专用工作衣帽并戴口罩；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⑤不在食品处理区内吸烟；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⑥私人物品不带入食品处理区；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⑦从事粗加工、洗碗等工种人员，不擅自进入专间。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13.是否制订并执行从业人员培训制度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从业人员培训记录，缺一人扣1分。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四、场所环境（10分）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14.场所内外环境是否整洁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发现一处扣1分：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①发现厨房内外环境不整洁的；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②发现食品加工在室外的。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15.专间和专用区域是否符合要求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专间区域不符合要求的，发现一处，扣1分：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凉卤菜配制间、裱花间、备餐间和售饭间等场所设置合理并为独立专间，四壁瓷砖上顶，屋顶平整或吊顶，采用封地排水、防蝇防鼠、洗手、消毒、更衣设施、工用具和容器清洗消毒、废弃物暂存等设施符合要求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16.地面与排水是否符合要求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地面与排水不符合要求的，发现一处扣1分：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①厨房地面平整、清洁，不积污水、不积垢，地砖不残缺；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②排水沟通畅、无废弃物和污水淤积、有盖板，排水由高清洁操作区流向低清洁操作区；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③水排放符合国家相关要求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漏水顶面干净整洁、落水管畅通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17.卫生间是否符合要求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卫生间不符合要求的，发现一处，扣1分：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①为水冲式厕所，环境卫生；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②冲洗设施、通风换气设施、防蝇设施、洗手设施维护良好，能正常使用。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18.更衣场所是否符合要求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更衣场所不符合要求的，发现一处，扣1分：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①设有从业人员专门更衣室；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②更衣场所内有更衣柜、洗手等设施，并保持环境卫生。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19.餐厨废弃物处置是否符合要求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每批餐厨垃圾处置有记录，发现一批未记录，本项不得分：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558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20.洗手消毒设施是否符合要求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洗手消毒设施未达到要求的，发现一处，扣1分：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①预进间或入口处及专间内未配备洗手消毒设施的；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②厨房内有足够数量的洗手设施；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③设施附近有相应的清洗、消毒用品和干手用品；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洗手消毒池排水口有水封，防止有害动物侵入及臭味产生。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五、设施设备（10分）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21.供水设施是否符合要求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供水设施不符合要求的，发现一处，本项不得分：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①设置符合相关规定的净水设施设备，对现榨现制饮料用水、食用冰用水、加工专间内接触直接入口食品的用水进行净化处理；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使用水箱定期清洗并进行水质检测，确保用水安全干净卫生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22.通风排烟设施是否符合要求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通风排烟设施不符合要求的，发现一处，扣1分：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①厨房自然通风良好，烹饪场所采用机械通风；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②产生油烟的设备上方设有机械排烟及油烟过滤装置，产生大量蒸汽的设备上方设有机械排风装置。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416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23.餐用具清洗、消毒、保洁设施是否符合要求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餐用具清洗、消毒、保洁设施不符合要求的，发现一处，扣1分：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①清洗、消毒、保洁设施设备的大小和数量满足加工经营需要；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②清洗消毒池专用，与食品原料清洗池、清洁用具清洗池分开，并有明显用途标识；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③水池选用不锈钢、陶瓷等材质或表面贴白色瓷砖；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消毒设备使用规范，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用的洗涤剂、消毒剂有相关许可证明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储存规范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⑤自动清洗消毒设备有温度显示和清洗消毒剂自动添加装置；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餐用具保洁设施结构密闭、易于清洁、标识明显。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24.防尘、防鼠、防虫害设施是否符合要求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防尘、防鼠、防虫害设施不符合要求，发现一处，扣1分：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①厨房门窗和与外界相通的孔洞有防蝇、防鼠设施；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②食品库房、专间、面点间、餐用具保洁间的门，设置金属防鼠设施（如防鼠板）；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③排水沟出口和排气口有网眼孔径小于6mm金属隔栅或网罩；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④加工经营场所设置灭蝇设施，灭蝇灯不得悬挂于食品贮存或加工操作场所正上方；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⑤杀虫剂、杀鼠剂等有毒有害物品在固定橱柜存放并上锁，有警示标识，采购及使用有记录。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25.设备、工具和容器是否符合要求，实施色标管理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接触食品的设备、工具、容器、包装材料材质不符合食品安全要求的，发现一处，扣1分：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①接触食品的设备、工具和容器易于清洗消毒、便于检查、区分使用；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②用于原料、半成品、成品的工具和容器，分开摆放和分色使用，有区分标识；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③原料加工中切配动物性、植物性食品和水产品的工具及容器，分开摆放和分色使用，有区分标识。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26.废弃物暂存设施是否符合要求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废弃物设施不符合要求的，发现一处，扣1分：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①厨房区内可能产生废弃物的场所均设有废弃物容器，并有明显标识；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②废弃物容器完好、密闭、整洁，专间内废弃物容器盖子为非手动开启式；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③废弃物容器及时清理、清洗，防止有害动物进入和有害昆虫滋生；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④设有油水隔离池、油水分离器等设施。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六、消防安全（10分）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 消防安全是否符合要求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不符合要求的，发现一处，扣1分：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①消防安全培训落实、有记录；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②有防火措施及消防应急预案；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③消防设施、器材无缺失；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④消防安全重点部位有备案、有明显标识；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⑤防火巡查制度落实、防火巡查记录且及时；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⑥疏散指示标志无损坏且明确、两点间距离大于20M；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⑦用电情况：无乱拉乱接或线路未套阻燃管、配电盘下方无杂物、配电盘、插座、闸刀开关、空气开关符合要求；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⑧用气情况：无乱拉乱接管线、带故障运行、油污清理及时、安全检查落实。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七、采购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储存</w:t>
            </w:r>
            <w:bookmarkStart w:id="1" w:name="_GoBack"/>
            <w:bookmarkEnd w:id="1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.主要食品原材料集中采购并公示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米、面、油、肉、调味料等主要食材未按要求集中采购，无原材料采购公示；发现一项，本项全扣。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.是否采购了禁止经营的食品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违法采购食品的，发现一项，扣100分。★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①《食品安全法》第二十八条规定禁止生产经营的食品；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②违反《食品安全法》第五十条规定的食品；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③《农产品质量安全法》第三十三条规定不得销售的食用农产品。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1200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.是否符合索证索票、查验记录要求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采购不符合要求的，发现一处，扣1分：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①采购食品、食品添加剂及食品相关产品时按《餐饮服务食品采购索证索票管理规定》进行查验、索证索票；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②采购的食品、食品添加剂及食品相关产品入库前按《餐饮服务食品采购索证索票管理规定》进行入库查验，并建立采购记录或留存相关进货票据。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储存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是否符合要求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储存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场所不符合要求的，发现一处，扣1分：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储存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场所、设备保持清洁，无霉斑、鼠迹、苍蝇、蟑螂等；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②不得存放有毒、有害物品及个人生活用品；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③食品分类、分架、离地、离墙；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④出库使用遵循先进先出的原则，及时清理销毁变质和过期的食品原料及食品添加剂；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⑤植物性、动物性、水产品原料和半成品分类摆放；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⑥冷藏、冷冻设施内原料、半成品、成品严格分开放置，并有明显区分标识；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⑦冷藏、冷冻设施定期除霜、清洁和维修，配有校验温度计，设施内温度符合相应要求。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1290" w:hRule="atLeast"/>
        </w:trPr>
        <w:tc>
          <w:tcPr>
            <w:tcW w:w="12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八、食品添加剂(5分)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.是否符合五专要求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发现食品添加剂管理不符合要求的，发现一处，扣1分：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①建立并执行专店采购、专柜存放、专人负责、专用工具、专用台账的“五专”管理制度；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②使用食品添加剂采用精确的计量工具称量，并有详细记录；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③食品添加剂贮存专柜标识“食品添加剂”字样并上锁。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.是否符合相关备案和公示要求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使用的食品添加剂未备案或未公示，发现一种本项全扣。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.是否存在超范围、超剂量使用现象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食品添加剂超范围、超剂量使用，发现一种本项全扣。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rPr>
          <w:trHeight w:val="995" w:hRule="atLeast"/>
        </w:trPr>
        <w:tc>
          <w:tcPr>
            <w:tcW w:w="12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九、加工制作（15分）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.粗加工与切配是否符合要求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粗加工与切配不符合要求的，发现一处，扣1分：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①加工前检查待加工食品，发现腐败变质或感官性状异常的，不得加工和使用；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②食品原料在使用前洗净，禽蛋使用前清洗外壳（必要时消毒）；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③动物性、植物性、水产品原料分池清洗；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④切配好的半成品与原料分开存放，并在规定时间内使用；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⑤不密闭的盛装食品的容器不得直接放置于地面；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⑥水产品宰杀工用具、容器使用后及时清洗、消毒。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.烹饪过程是否符合要求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发现回收食用后的食品再加工经营的，扣100分。★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烹饪过程不符合要求的，发现一处，扣1分：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烹饪前检查待加工食品，发现有腐败变质或感官性状异常的，不得烹饪加工；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②需要熟制加工的食品应烧熟煮透，加工时食品中心温度不低于70℃；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③需要冷藏的熟制品，应先冷却再冷藏，冷却在清洁操作区进行，并标注加工时间；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④用于烹饪的调味料盛装器皿有遮有盖，不得露放，不得与地面或污垢接触；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⑤菜品用的围边、盘花应保证清洁新鲜、无毒、无腐败变质，不得回收后再使用；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⑥厨房内重复使用的煎炸油应符合国家相关标准要求，不符合要求的及时废弃。</w:t>
            </w:r>
          </w:p>
        </w:tc>
        <w:tc>
          <w:tcPr>
            <w:tcW w:w="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rPr>
          <w:trHeight w:val="900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.备餐及供餐是否符合要求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备餐及供餐不符合要求的，发现一处，本项全扣：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①供应前检查待供应食品，发现腐败变质或感官性状异常的，不得供应；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②分餐、备餐时使用的工用具需经消毒，用手直接分餐时应洗手消毒并戴经消毒的一次性手套；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③在烹饪后至食用前超过2小时存放的食品应当在高于60℃或低于10℃的条件下存放。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.凉菜配制、裱花操作是否符合要求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凉菜配制、裱花操作不符合要求的，发现一处扣1分：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①由专人在专间内加工制作，操作时更换专用工作衣帽并佩戴口罩，操作前洗手消毒；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②加工前检查待加工食品，发现腐败变质或感官性状异常的，不得进行加工；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③专间每次使用前进行空气和操作台消毒，用紫外线灯的，应开启30分钟以上，并做好记录；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④专间内设备、工具、容器专用，使用前消毒，用后洗净并保持清洁；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⑤进入专间的蔬菜、水果等原料，需经清洗干净后进入专间，未经清洗干净的，不得进入专间；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⑥制作好的凉菜尽量当餐用完；未用完的，应存放于专用设施中冷藏或冷冻，食用前再加热；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⑦裱花操作时的蛋糕胚应在专用冰箱中冷藏；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⑧裱花操作时所用的裱浆和经清洗消毒的水果应当天加工、当天使用；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⑨植脂奶油裱花蛋糕储藏温度在3℃±2℃，蛋白裱花蛋糕、奶油裱花蛋糕、人造奶油裱花蛋糕储藏温度不得超过20℃；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⑩室内整洁，与加工直接入口食品无关的物品不得进入专间；</w:t>
            </w:r>
          </w:p>
          <w:p>
            <w:pPr>
              <w:spacing w:line="320" w:lineRule="exac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333333"/>
                <w:sz w:val="18"/>
                <w:szCs w:val="18"/>
                <w:shd w:val="clear" w:color="auto" w:fill="FFFFFF"/>
              </w:rPr>
              <w:t>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加工生食海产品。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.面点制作是否符合要求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面点制作不符合要求的，发现一处，扣1分：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①加工前检查待加工食品，发现腐败变质或感官性状异常的，不得进行加工；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②需要熟制加工的，应烧熟煮透，加工时食品中心温度不低于70℃；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③未用完的点心馅料、乳制品、半成品，应冷藏或冷冻，并在规定存放期限内使用；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④水分含量较高的含奶、蛋的点心应在高于60℃或低于10℃的条件下贮存。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.食品再加热是否符合要求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食品再加热不符合要求的，发现一处，扣1分：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①保存温度低于60℃或高于10℃、存放时间超过2小时的熟食品，需再次利用的应充分加热；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②加热前应确认食品未变质，发现腐败变质或感官性状异常的，不得进行加工；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③冷冻熟食品应彻底解冻后经充分加热方可食用；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④加热时食品中心温度不低于70℃，不符合加热标准的食品不得食用；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⑤过夜菜品再加工。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.食品留样是否符合要求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食品留样不符合要求的，发现一处，扣1分：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①每餐次的食品成品应留样；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②按食品品种留样，分装于消毒后的专用容器内，在专用冰箱中冷藏保存48小时以上；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③每个品种留样量≥1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g；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④记录留样食品名称、留样量、留样时间、留样人员等。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131" w:hRule="atLeast"/>
        </w:trPr>
        <w:tc>
          <w:tcPr>
            <w:tcW w:w="12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十、清洗消毒（5分）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.消毒是否符合要求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发现餐用具消毒不符合要求的，发现一处，扣1分：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①餐用具使用前应消毒，消毒后的餐饮具符合GB14934《食(饮)具消毒卫生标准》规定。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②采用热力消毒的，符合要求：煮沸、蒸汽消毒的，保持100℃，10分钟以上；红外线消毒的，保持温度120℃以上，10分钟以上；洗碗机消毒的，控制水温85℃，冲洗消毒40秒以上。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③采用化学消毒的，符合要求：浸泡餐用具的消毒液有效氯浓度≥250mg/L；餐用具全部浸泡入消毒液中5分钟以上；消毒后，用净水冲去餐用具表面残留的消毒剂。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④一次性餐用具重复使用。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.餐具保洁是否符合要求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餐用具保洁不符合要求的，发现一处，本项全扣：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①消毒后的餐用具应及时放入密闭的餐用具保洁设施内；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②已消毒和未消毒的餐用具应分开存放，保洁设施内不得存放其他物品。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十一、服务管理</w:t>
            </w:r>
          </w:p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3398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.饭菜品种、重量、价格是否符合规定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.服务态度好，是否有投诉</w:t>
            </w:r>
          </w:p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.食品容器具是否按色标管理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有投诉，吃出异物且被查实且对学校声誉造成不良影响的，扣100分。★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7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978" w:hRule="atLeast"/>
        </w:trPr>
        <w:tc>
          <w:tcPr>
            <w:tcW w:w="12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服务不符合要求的，发现一项扣2分,本项扣完为止：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①大伙饭菜品种不符合要求（低价位菜所占比例为20-30%，中价位菜所占比例为40-50%，高价位菜所占比例为20-30%）；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②饭菜价格、重量与售价不符（量小型：无汁无汤的菜150克左右；带汁的菜180克左右；带汤的菜200克左右。量大型：无汁无汤的菜250克左右；带汁的菜280克左右；带汤的菜300克左右。）；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③无低价菜、免费汤；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④无免费饮用开水供应；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⑤食品容器具未按色标管理；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⑥在加工操作区、备餐和售餐区存在有碍卫生和食品安全行为或有药品；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⑦一次性餐具不符合要求；</w:t>
            </w:r>
          </w:p>
        </w:tc>
        <w:tc>
          <w:tcPr>
            <w:tcW w:w="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4786" w:type="dxa"/>
            <w:gridSpan w:val="6"/>
          </w:tcPr>
          <w:p>
            <w:pPr>
              <w:spacing w:line="4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说明：1、“★”标内容为着一票否决项，如在月检和抽检中发现“★”标内容不符合要求，则该食堂的本次检查记“0分“；</w:t>
            </w:r>
          </w:p>
          <w:p>
            <w:pPr>
              <w:spacing w:line="400" w:lineRule="exact"/>
              <w:ind w:firstLine="540" w:firstLineChars="3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得分≥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0分为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合格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、＜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0分为不合格。</w:t>
            </w:r>
          </w:p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总评分：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评定等级：   </w:t>
            </w:r>
          </w:p>
          <w:p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检查人员签字：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年     月     日</w:t>
            </w:r>
          </w:p>
        </w:tc>
      </w:tr>
    </w:tbl>
    <w:p>
      <w:pPr>
        <w:spacing w:line="400" w:lineRule="exact"/>
        <w:jc w:val="center"/>
        <w:rPr>
          <w:rFonts w:hint="eastAsia" w:ascii="宋体" w:hAnsi="宋体" w:cs="宋体"/>
          <w:kern w:val="0"/>
          <w:sz w:val="18"/>
          <w:szCs w:val="18"/>
        </w:rPr>
      </w:pPr>
    </w:p>
    <w:p/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21 -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B3"/>
    <w:rsid w:val="005124A6"/>
    <w:rsid w:val="005609B3"/>
    <w:rsid w:val="5AD875ED"/>
    <w:rsid w:val="72D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  <w:lang w:val="zh-CN" w:eastAsia="zh-C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8">
    <w:name w:val="页眉 Char"/>
    <w:basedOn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字符"/>
    <w:link w:val="4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10">
    <w:name w:val="页脚 Char"/>
    <w:basedOn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link w:val="3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12">
    <w:name w:val="标题 #1_"/>
    <w:link w:val="13"/>
    <w:qFormat/>
    <w:uiPriority w:val="0"/>
    <w:rPr>
      <w:rFonts w:ascii="MingLiU" w:hAnsi="MingLiU" w:eastAsia="MingLiU" w:cs="MingLiU"/>
      <w:sz w:val="42"/>
      <w:szCs w:val="42"/>
      <w:shd w:val="clear" w:color="auto" w:fill="FFFFFF"/>
    </w:rPr>
  </w:style>
  <w:style w:type="paragraph" w:customStyle="1" w:styleId="13">
    <w:name w:val="标题 #1"/>
    <w:basedOn w:val="1"/>
    <w:link w:val="12"/>
    <w:qFormat/>
    <w:uiPriority w:val="0"/>
    <w:pPr>
      <w:shd w:val="clear" w:color="auto" w:fill="FFFFFF"/>
      <w:spacing w:after="420" w:line="0" w:lineRule="atLeast"/>
      <w:jc w:val="left"/>
      <w:outlineLvl w:val="0"/>
    </w:pPr>
    <w:rPr>
      <w:rFonts w:ascii="MingLiU" w:hAnsi="MingLiU" w:eastAsia="MingLiU" w:cs="MingLiU"/>
      <w:sz w:val="42"/>
      <w:szCs w:val="42"/>
    </w:rPr>
  </w:style>
  <w:style w:type="character" w:customStyle="1" w:styleId="14">
    <w:name w:val="正文文本 (3)_"/>
    <w:link w:val="15"/>
    <w:uiPriority w:val="0"/>
    <w:rPr>
      <w:rFonts w:ascii="MingLiU" w:hAnsi="MingLiU" w:eastAsia="MingLiU" w:cs="MingLiU"/>
      <w:sz w:val="30"/>
      <w:szCs w:val="30"/>
      <w:shd w:val="clear" w:color="auto" w:fill="FFFFFF"/>
    </w:rPr>
  </w:style>
  <w:style w:type="paragraph" w:customStyle="1" w:styleId="15">
    <w:name w:val="正文文本 (3)"/>
    <w:basedOn w:val="1"/>
    <w:link w:val="14"/>
    <w:qFormat/>
    <w:uiPriority w:val="0"/>
    <w:pPr>
      <w:shd w:val="clear" w:color="auto" w:fill="FFFFFF"/>
      <w:spacing w:before="420" w:after="420" w:line="0" w:lineRule="atLeast"/>
      <w:jc w:val="center"/>
    </w:pPr>
    <w:rPr>
      <w:rFonts w:ascii="MingLiU" w:hAnsi="MingLiU" w:eastAsia="MingLiU" w:cs="MingLiU"/>
      <w:sz w:val="30"/>
      <w:szCs w:val="30"/>
    </w:rPr>
  </w:style>
  <w:style w:type="character" w:customStyle="1" w:styleId="16">
    <w:name w:val="正文文本 (2)_"/>
    <w:link w:val="17"/>
    <w:qFormat/>
    <w:uiPriority w:val="0"/>
    <w:rPr>
      <w:rFonts w:ascii="MingLiU" w:hAnsi="MingLiU" w:eastAsia="MingLiU" w:cs="MingLiU"/>
      <w:sz w:val="30"/>
      <w:szCs w:val="30"/>
      <w:shd w:val="clear" w:color="auto" w:fill="FFFFFF"/>
    </w:rPr>
  </w:style>
  <w:style w:type="paragraph" w:customStyle="1" w:styleId="17">
    <w:name w:val="正文文本 (2)"/>
    <w:basedOn w:val="1"/>
    <w:link w:val="16"/>
    <w:qFormat/>
    <w:uiPriority w:val="0"/>
    <w:pPr>
      <w:shd w:val="clear" w:color="auto" w:fill="FFFFFF"/>
      <w:spacing w:before="420" w:line="482" w:lineRule="exact"/>
      <w:jc w:val="distribute"/>
    </w:pPr>
    <w:rPr>
      <w:rFonts w:ascii="MingLiU" w:hAnsi="MingLiU" w:eastAsia="MingLiU" w:cs="MingLiU"/>
      <w:sz w:val="30"/>
      <w:szCs w:val="30"/>
    </w:rPr>
  </w:style>
  <w:style w:type="character" w:customStyle="1" w:styleId="18">
    <w:name w:val="正文文本 (2) + 16 pt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32"/>
      <w:szCs w:val="32"/>
      <w:shd w:val="clear" w:color="auto" w:fill="FFFFFF"/>
      <w:lang w:val="zh-TW" w:eastAsia="zh-TW" w:bidi="zh-TW"/>
    </w:rPr>
  </w:style>
  <w:style w:type="paragraph" w:styleId="19">
    <w:name w:val="List Paragraph"/>
    <w:basedOn w:val="1"/>
    <w:qFormat/>
    <w:uiPriority w:val="34"/>
    <w:pPr>
      <w:ind w:firstLine="420" w:firstLineChars="200"/>
      <w:jc w:val="left"/>
    </w:pPr>
    <w:rPr>
      <w:rFonts w:ascii="hakuyoxingshu7000" w:hAnsi="hakuyoxingshu7000" w:eastAsia="hakuyoxingshu7000" w:cs="hakuyoxingshu7000"/>
      <w:color w:val="000000"/>
      <w:kern w:val="0"/>
      <w:sz w:val="24"/>
      <w:szCs w:val="24"/>
      <w:lang w:val="zh-TW" w:eastAsia="zh-TW" w:bidi="zh-TW"/>
    </w:rPr>
  </w:style>
  <w:style w:type="character" w:customStyle="1" w:styleId="20">
    <w:name w:val="正文文本_"/>
    <w:link w:val="21"/>
    <w:qFormat/>
    <w:locked/>
    <w:uiPriority w:val="0"/>
    <w:rPr>
      <w:rFonts w:ascii="MingLiU" w:hAnsi="MingLiU" w:eastAsia="MingLiU"/>
      <w:spacing w:val="10"/>
      <w:sz w:val="25"/>
      <w:szCs w:val="25"/>
      <w:shd w:val="clear" w:color="auto" w:fill="FFFFFF"/>
    </w:rPr>
  </w:style>
  <w:style w:type="paragraph" w:customStyle="1" w:styleId="21">
    <w:name w:val="正文文本1"/>
    <w:basedOn w:val="1"/>
    <w:link w:val="20"/>
    <w:qFormat/>
    <w:uiPriority w:val="0"/>
    <w:pPr>
      <w:shd w:val="clear" w:color="auto" w:fill="FFFFFF"/>
      <w:spacing w:before="720" w:after="1080" w:line="240" w:lineRule="atLeast"/>
      <w:jc w:val="center"/>
    </w:pPr>
    <w:rPr>
      <w:rFonts w:ascii="MingLiU" w:hAnsi="MingLiU" w:eastAsia="MingLiU" w:cstheme="minorBidi"/>
      <w:spacing w:val="10"/>
      <w:sz w:val="25"/>
      <w:szCs w:val="25"/>
    </w:rPr>
  </w:style>
  <w:style w:type="character" w:customStyle="1" w:styleId="22">
    <w:name w:val="批注框文本 Char"/>
    <w:link w:val="2"/>
    <w:semiHidden/>
    <w:qFormat/>
    <w:uiPriority w:val="99"/>
    <w:rPr>
      <w:sz w:val="18"/>
      <w:szCs w:val="18"/>
      <w:lang w:val="zh-CN" w:eastAsia="zh-CN"/>
    </w:rPr>
  </w:style>
  <w:style w:type="character" w:customStyle="1" w:styleId="23">
    <w:name w:val="批注框文本 Char1"/>
    <w:basedOn w:val="7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页脚 Char1"/>
    <w:qFormat/>
    <w:uiPriority w:val="99"/>
    <w:rPr>
      <w:rFonts w:eastAsia="等线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27</Pages>
  <Words>2297</Words>
  <Characters>13096</Characters>
  <Lines>109</Lines>
  <Paragraphs>30</Paragraphs>
  <TotalTime>8</TotalTime>
  <ScaleCrop>false</ScaleCrop>
  <LinksUpToDate>false</LinksUpToDate>
  <CharactersWithSpaces>15363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2019-11-21T01:11:00Z</dcterms:created>
  <dc:creator>孙宇航</dc:creator>
  <cp:lastModifiedBy>李雷</cp:lastModifiedBy>
  <dcterms:modified xsi:type="dcterms:W3CDTF">2022-02-25T07:11:10Z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919B43E7FB1E4EACBF19CB6629432B74</vt:lpwstr>
  </property>
</Properties>
</file>