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附件1：组织生活会开展规范流程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（会场应悬挂团旗）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唱团歌；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团支部书记汇报团支部今年开展</w:t>
      </w:r>
      <w:bookmarkEnd w:id="0"/>
      <w:r>
        <w:rPr>
          <w:rFonts w:hint="eastAsia" w:ascii="宋体" w:hAnsi="宋体" w:eastAsia="宋体" w:cs="宋体"/>
          <w:sz w:val="28"/>
          <w:szCs w:val="28"/>
        </w:rPr>
        <w:t>党史学习，特别是学习习近平总书记“七一”重要讲话精神情况和组织生活会准备情况，并结合团支部工作和个人实际交流体会认识；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团支部委员、其他团员依次发言，其他团员对其进行评议，肯定成绩、指出不足；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开展团员先进性评价民主测评投票；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上级团组织负责人或本级党组织的负责人点评讲话；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重温入团誓词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4C0AC"/>
    <w:multiLevelType w:val="singleLevel"/>
    <w:tmpl w:val="CA44C0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7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409" w:right="1276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2021-11-05T03:13:29Z</dcterms:created>
  <dc:creator>Administrator</dc:creator>
  <cp:lastModifiedBy>默默</cp:lastModifiedBy>
  <dcterms:modified xsi:type="dcterms:W3CDTF">2021-11-05T03:13:45Z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464C512EF93748D9BF8E1856BBB08267</vt:lpwstr>
  </property>
</Properties>
</file>