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highlight w:val="none"/>
        </w:rPr>
      </w:pPr>
      <w:bookmarkStart w:id="0" w:name="_GoBack"/>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招标代理机构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pPr>
        <w:spacing w:line="560" w:lineRule="exact"/>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招标代理机构：        （全称盖章）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hint="eastAsia" w:ascii="仿宋" w:hAnsi="仿宋" w:eastAsia="仿宋" w:cs="华文仿宋"/>
          <w:sz w:val="32"/>
          <w:szCs w:val="32"/>
          <w:highlight w:val="none"/>
        </w:rPr>
        <w:t>年   月   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项目招标代理机构的遴选活动。委托代理人参加招标代理机构遴选活动和委托代理合同谈判过程中所签署的一切文件和处理与之有关的一切事务我及我单位均予以承认并全部承担其产生的所有权利和义务。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color w:val="F9F9F9"/>
          <w:sz w:val="32"/>
          <w:szCs w:val="32"/>
          <w:highlight w:val="none"/>
        </w:rPr>
        <w:t>挞。</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hint="eastAsia" w:ascii="仿宋" w:hAnsi="仿宋" w:eastAsia="仿宋" w:cs="华文仿宋"/>
          <w:sz w:val="32"/>
          <w:szCs w:val="32"/>
          <w:highlight w:val="none"/>
        </w:rPr>
        <w:t>年  月  日</w:t>
      </w:r>
    </w:p>
    <w:p>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我单位现参加项目招标代理机构的遴选，我单位郑重声明：不管现在，过去还是将来，我单位及其附属机构，或有经济利益关系的其他机构，都没有或不会参与该项目的</w:t>
      </w:r>
      <w:r>
        <w:rPr>
          <w:rFonts w:hint="eastAsia" w:ascii="仿宋" w:hAnsi="仿宋" w:eastAsia="仿宋" w:cs="华文仿宋"/>
          <w:sz w:val="32"/>
          <w:szCs w:val="32"/>
          <w:highlight w:val="none"/>
          <w:lang w:eastAsia="zh-CN"/>
        </w:rPr>
        <w:t>招标</w:t>
      </w:r>
      <w:r>
        <w:rPr>
          <w:rFonts w:hint="eastAsia" w:ascii="仿宋" w:hAnsi="仿宋" w:eastAsia="仿宋" w:cs="华文仿宋"/>
          <w:sz w:val="32"/>
          <w:szCs w:val="32"/>
          <w:highlight w:val="none"/>
        </w:rPr>
        <w:t>。如本招标代理机构中选为项目提供招标代理服务，本招标代理机构及其附属机构也将不得从事所代理的</w:t>
      </w:r>
      <w:r>
        <w:rPr>
          <w:rFonts w:hint="eastAsia" w:ascii="仿宋" w:hAnsi="仿宋" w:eastAsia="仿宋" w:cs="华文仿宋"/>
          <w:sz w:val="32"/>
          <w:szCs w:val="32"/>
          <w:highlight w:val="none"/>
          <w:lang w:eastAsia="zh-CN"/>
        </w:rPr>
        <w:t>招标</w:t>
      </w:r>
      <w:r>
        <w:rPr>
          <w:rFonts w:hint="eastAsia" w:ascii="仿宋" w:hAnsi="仿宋" w:eastAsia="仿宋" w:cs="华文仿宋"/>
          <w:sz w:val="32"/>
          <w:szCs w:val="32"/>
          <w:highlight w:val="none"/>
        </w:rPr>
        <w:t>项目的投标及投标咨询服务。</w:t>
      </w:r>
    </w:p>
    <w:p>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pPr>
        <w:spacing w:line="560" w:lineRule="exact"/>
        <w:ind w:firstLine="560"/>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hint="eastAsia" w:ascii="仿宋" w:hAnsi="仿宋" w:eastAsia="仿宋" w:cs="华文仿宋"/>
          <w:sz w:val="32"/>
          <w:szCs w:val="32"/>
          <w:highlight w:val="none"/>
        </w:rPr>
        <w:t>年  月  日</w:t>
      </w:r>
    </w:p>
    <w:p>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pPr>
        <w:jc w:val="center"/>
        <w:rPr>
          <w:rFonts w:hint="eastAsia" w:ascii="微软雅黑" w:hAnsi="微软雅黑" w:eastAsia="微软雅黑" w:cs="Times New Roman"/>
          <w:b/>
          <w:sz w:val="32"/>
          <w:szCs w:val="32"/>
          <w:highlight w:val="none"/>
        </w:rPr>
      </w:pPr>
      <w:r>
        <w:rPr>
          <w:rFonts w:hint="eastAsia" w:ascii="仿宋" w:hAnsi="仿宋" w:eastAsia="仿宋" w:cs="仿宋"/>
          <w:sz w:val="24"/>
          <w:szCs w:val="24"/>
          <w:highlight w:val="none"/>
        </w:rPr>
        <w:t xml:space="preserve">     </w:t>
      </w:r>
      <w:r>
        <w:rPr>
          <w:rFonts w:hint="eastAsia" w:ascii="微软雅黑" w:hAnsi="微软雅黑" w:eastAsia="微软雅黑" w:cs="Times New Roman"/>
          <w:b/>
          <w:sz w:val="32"/>
          <w:szCs w:val="32"/>
          <w:highlight w:val="none"/>
        </w:rPr>
        <w:t>工程</w:t>
      </w:r>
      <w:r>
        <w:rPr>
          <w:rFonts w:hint="eastAsia" w:ascii="微软雅黑" w:hAnsi="微软雅黑" w:eastAsia="微软雅黑" w:cs="Times New Roman"/>
          <w:b/>
          <w:sz w:val="32"/>
          <w:szCs w:val="32"/>
          <w:highlight w:val="none"/>
          <w:lang w:val="en-US" w:eastAsia="zh-CN"/>
        </w:rPr>
        <w:t>类</w:t>
      </w:r>
      <w:r>
        <w:rPr>
          <w:rFonts w:hint="eastAsia" w:ascii="微软雅黑" w:hAnsi="微软雅黑" w:eastAsia="微软雅黑" w:cs="Times New Roman"/>
          <w:b/>
          <w:sz w:val="32"/>
          <w:szCs w:val="32"/>
          <w:highlight w:val="none"/>
        </w:rPr>
        <w:t>招标代理</w:t>
      </w:r>
      <w:r>
        <w:rPr>
          <w:rFonts w:hint="eastAsia" w:ascii="微软雅黑" w:hAnsi="微软雅黑" w:eastAsia="微软雅黑" w:cs="Times New Roman"/>
          <w:b/>
          <w:sz w:val="32"/>
          <w:szCs w:val="32"/>
          <w:highlight w:val="none"/>
          <w:lang w:val="en-US" w:eastAsia="zh-CN"/>
        </w:rPr>
        <w:t>综</w:t>
      </w:r>
      <w:r>
        <w:rPr>
          <w:rFonts w:hint="eastAsia" w:ascii="微软雅黑" w:hAnsi="微软雅黑" w:eastAsia="微软雅黑" w:cs="Times New Roman"/>
          <w:b/>
          <w:sz w:val="32"/>
          <w:szCs w:val="32"/>
          <w:highlight w:val="none"/>
        </w:rPr>
        <w:t>合评分表</w:t>
      </w:r>
    </w:p>
    <w:p>
      <w:pPr>
        <w:jc w:val="center"/>
        <w:rPr>
          <w:rFonts w:ascii="微软雅黑" w:hAnsi="微软雅黑" w:eastAsia="微软雅黑" w:cs="Times New Roman"/>
          <w:b/>
          <w:sz w:val="32"/>
          <w:szCs w:val="32"/>
          <w:highlight w:val="none"/>
        </w:rPr>
      </w:pPr>
      <w:r>
        <w:rPr>
          <w:rFonts w:hint="eastAsia" w:ascii="仿宋" w:hAnsi="仿宋" w:eastAsia="仿宋" w:cs="仿宋"/>
          <w:sz w:val="24"/>
          <w:szCs w:val="24"/>
          <w:highlight w:val="none"/>
        </w:rPr>
        <w:t xml:space="preserve">       </w:t>
      </w:r>
    </w:p>
    <w:tbl>
      <w:tblPr>
        <w:tblStyle w:val="5"/>
        <w:tblpPr w:vertAnchor="page" w:horzAnchor="page" w:tblpXSpec="center" w:tblpY="2171"/>
        <w:tblW w:w="117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3"/>
        <w:gridCol w:w="540"/>
        <w:gridCol w:w="9915"/>
        <w:gridCol w:w="5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43" w:type="dxa"/>
            <w:vAlign w:val="center"/>
          </w:tcPr>
          <w:p>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540" w:type="dxa"/>
            <w:vAlign w:val="center"/>
          </w:tcPr>
          <w:p>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9915" w:type="dxa"/>
            <w:vAlign w:val="center"/>
          </w:tcPr>
          <w:p>
            <w:pPr>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583" w:type="dxa"/>
          </w:tcPr>
          <w:p>
            <w:pPr>
              <w:jc w:val="left"/>
              <w:rPr>
                <w:rFonts w:hint="eastAsia" w:ascii="仿宋" w:hAnsi="仿宋" w:eastAsia="仿宋" w:cs="华文仿宋"/>
                <w:sz w:val="18"/>
                <w:szCs w:val="18"/>
                <w:highlight w:val="none"/>
                <w:lang w:eastAsia="zh-CN"/>
              </w:rPr>
            </w:pPr>
            <w:r>
              <w:rPr>
                <w:rFonts w:hint="eastAsia" w:ascii="仿宋" w:hAnsi="仿宋" w:eastAsia="仿宋" w:cs="华文仿宋"/>
                <w:sz w:val="18"/>
                <w:szCs w:val="18"/>
                <w:highlight w:val="none"/>
              </w:rPr>
              <w:t>申请人</w:t>
            </w:r>
            <w:r>
              <w:rPr>
                <w:rFonts w:hint="eastAsia" w:ascii="仿宋" w:hAnsi="仿宋" w:eastAsia="仿宋" w:cs="华文仿宋"/>
                <w:sz w:val="18"/>
                <w:szCs w:val="18"/>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81"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9915" w:type="dxa"/>
            <w:vAlign w:val="center"/>
          </w:tcPr>
          <w:p>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近三</w:t>
            </w:r>
            <w:r>
              <w:rPr>
                <w:rFonts w:ascii="仿宋" w:hAnsi="仿宋" w:eastAsia="仿宋" w:cs="华文仿宋"/>
                <w:sz w:val="24"/>
                <w:szCs w:val="24"/>
                <w:highlight w:val="none"/>
              </w:rPr>
              <w:t>年内累计代理工程招标中标</w:t>
            </w:r>
            <w:r>
              <w:rPr>
                <w:rFonts w:ascii="仿宋" w:hAnsi="仿宋" w:eastAsia="仿宋" w:cs="华文仿宋"/>
                <w:sz w:val="24"/>
                <w:szCs w:val="24"/>
                <w:highlight w:val="none"/>
              </w:rPr>
              <w:t>金额</w:t>
            </w:r>
            <w:r>
              <w:rPr>
                <w:rFonts w:ascii="仿宋" w:hAnsi="仿宋" w:eastAsia="仿宋" w:cs="华文仿宋"/>
                <w:sz w:val="24"/>
                <w:szCs w:val="24"/>
                <w:highlight w:val="none"/>
              </w:rPr>
              <w:t>在8亿元人民币以上（以中标通知书为依据，下同）；具有中级以上职称的工程招标代理机构专职人员不少于12人，其中具有工程建设类注册执业资格人员不少于6人（其中注册造价工程师不少于3人），从事工程招标代理业务3年以上的人员不少于6人；技术经济负责人为本机构专职人员，具有8年以上从事工程管理的经历，具有高级技术经济职称和工程建设类注册执业资格；满足得10分</w:t>
            </w:r>
            <w:r>
              <w:rPr>
                <w:rFonts w:hint="eastAsia" w:ascii="仿宋" w:hAnsi="仿宋" w:eastAsia="仿宋" w:cs="华文仿宋"/>
                <w:sz w:val="24"/>
                <w:szCs w:val="24"/>
                <w:highlight w:val="none"/>
              </w:rPr>
              <w:t>，不满足相应扣分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 xml:space="preserve"> （提供相关证明材料：中标通知书和该项目服务评价复印件加盖公章，服务评价需为优或好等积极评价。）</w:t>
            </w:r>
          </w:p>
        </w:tc>
        <w:tc>
          <w:tcPr>
            <w:tcW w:w="583" w:type="dxa"/>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w:t>
            </w:r>
            <w:r>
              <w:rPr>
                <w:rFonts w:ascii="仿宋" w:hAnsi="仿宋" w:eastAsia="仿宋" w:cs="华文仿宋"/>
                <w:sz w:val="24"/>
                <w:szCs w:val="24"/>
                <w:highlight w:val="none"/>
              </w:rPr>
              <w:t>满足得10分</w:t>
            </w:r>
            <w:r>
              <w:rPr>
                <w:rFonts w:hint="eastAsia" w:ascii="仿宋" w:hAnsi="仿宋" w:eastAsia="仿宋" w:cs="华文仿宋"/>
                <w:sz w:val="24"/>
                <w:szCs w:val="24"/>
                <w:highlight w:val="none"/>
              </w:rPr>
              <w:t>，不满足相应扣分</w:t>
            </w:r>
            <w:r>
              <w:rPr>
                <w:rFonts w:ascii="仿宋" w:hAnsi="仿宋" w:eastAsia="仿宋" w:cs="华文仿宋"/>
                <w:sz w:val="24"/>
                <w:szCs w:val="24"/>
                <w:highlight w:val="none"/>
              </w:rPr>
              <w:t>。</w:t>
            </w:r>
          </w:p>
          <w:p>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（提供相关证书复印件</w:t>
            </w:r>
            <w:r>
              <w:rPr>
                <w:rFonts w:hint="eastAsia" w:ascii="仿宋" w:hAnsi="仿宋" w:eastAsia="仿宋" w:cs="华文仿宋"/>
                <w:sz w:val="24"/>
                <w:szCs w:val="24"/>
                <w:highlight w:val="none"/>
              </w:rPr>
              <w:t>加盖公章</w:t>
            </w:r>
            <w:r>
              <w:rPr>
                <w:rFonts w:hint="eastAsia" w:ascii="仿宋" w:hAnsi="仿宋" w:eastAsia="仿宋" w:cs="华文仿宋"/>
                <w:sz w:val="24"/>
                <w:szCs w:val="24"/>
                <w:highlight w:val="none"/>
              </w:rPr>
              <w:t>）</w:t>
            </w:r>
          </w:p>
        </w:tc>
        <w:tc>
          <w:tcPr>
            <w:tcW w:w="583" w:type="dxa"/>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3" w:type="dxa"/>
            <w:tcBorders>
              <w:bottom w:val="single" w:color="auto" w:sz="4" w:space="0"/>
            </w:tcBorders>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540" w:type="dxa"/>
            <w:tcBorders>
              <w:bottom w:val="single" w:color="auto" w:sz="4" w:space="0"/>
            </w:tcBorders>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9915" w:type="dxa"/>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申请人</w:t>
            </w:r>
            <w:r>
              <w:rPr>
                <w:rFonts w:hint="eastAsia" w:ascii="仿宋" w:hAnsi="仿宋" w:eastAsia="仿宋" w:cs="华文仿宋"/>
                <w:sz w:val="24"/>
                <w:szCs w:val="24"/>
                <w:highlight w:val="none"/>
              </w:rPr>
              <w:t>近三年曾获得行业协会颁发的工程招标代理相关荣誉</w:t>
            </w:r>
            <w:r>
              <w:rPr>
                <w:rFonts w:ascii="仿宋" w:hAnsi="仿宋" w:eastAsia="仿宋" w:cs="华文仿宋"/>
                <w:sz w:val="24"/>
                <w:szCs w:val="24"/>
                <w:highlight w:val="none"/>
              </w:rPr>
              <w:t>3项及以上得5分，每少一项扣2分，扣完为止。（提供相关荣誉证书或证明材料复印件</w:t>
            </w:r>
            <w:r>
              <w:rPr>
                <w:rFonts w:ascii="仿宋" w:hAnsi="仿宋" w:eastAsia="仿宋" w:cs="华文仿宋"/>
                <w:sz w:val="24"/>
                <w:szCs w:val="24"/>
                <w:highlight w:val="none"/>
              </w:rPr>
              <w:t>加盖公章</w:t>
            </w:r>
            <w:r>
              <w:rPr>
                <w:rFonts w:ascii="仿宋" w:hAnsi="仿宋" w:eastAsia="仿宋" w:cs="华文仿宋"/>
                <w:sz w:val="24"/>
                <w:szCs w:val="24"/>
                <w:highlight w:val="none"/>
              </w:rPr>
              <w:t>）</w:t>
            </w:r>
          </w:p>
        </w:tc>
        <w:tc>
          <w:tcPr>
            <w:tcW w:w="583" w:type="dxa"/>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tcPr>
          <w:p>
            <w:pPr>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w:t>
            </w:r>
            <w:r>
              <w:rPr>
                <w:rFonts w:hint="eastAsia" w:ascii="仿宋" w:hAnsi="仿宋" w:eastAsia="仿宋" w:cs="华文仿宋"/>
                <w:sz w:val="24"/>
                <w:szCs w:val="24"/>
                <w:highlight w:val="none"/>
              </w:rPr>
              <w:t>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pPr>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583" w:type="dxa"/>
          </w:tcPr>
          <w:p>
            <w:pPr>
              <w:jc w:val="cente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43" w:type="dxa"/>
            <w:vMerge w:val="restart"/>
            <w:tcBorders>
              <w:top w:val="single" w:color="auto" w:sz="4" w:space="0"/>
            </w:tcBorders>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540" w:type="dxa"/>
            <w:vMerge w:val="restart"/>
            <w:tcBorders>
              <w:top w:val="single" w:color="auto" w:sz="4" w:space="0"/>
            </w:tcBorders>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9915" w:type="dxa"/>
            <w:tcBorders>
              <w:bottom w:val="single" w:color="auto" w:sz="4" w:space="0"/>
            </w:tcBorders>
            <w:vAlign w:val="center"/>
          </w:tcPr>
          <w:p>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分）：项目业务负责人在公司从事工程招标代理工作5年，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，不满足相应扣分。（提供加盖公章的劳务合同复印件及每年一个月的社保缴纳证明）</w:t>
            </w:r>
          </w:p>
          <w:p>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分）：项目组成员在公司从事工程招标代理工作3年，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，不满足相应扣分。（提供加盖公章的劳务合同复印件及每年一个月的社保缴纳证明，需单列每名专职人员社保；提供汇总表的应标注清楚，便于查找，未标注的不得分。）</w:t>
            </w:r>
          </w:p>
          <w:p>
            <w:pPr>
              <w:kinsoku w:val="0"/>
              <w:wordWrap w:val="0"/>
              <w:spacing w:line="0" w:lineRule="atLeas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项目业务负责人及项目组</w:t>
            </w:r>
            <w:r>
              <w:rPr>
                <w:rFonts w:hint="eastAsia" w:ascii="仿宋" w:hAnsi="仿宋" w:eastAsia="仿宋" w:cs="华文仿宋"/>
                <w:sz w:val="24"/>
                <w:szCs w:val="24"/>
                <w:highlight w:val="none"/>
              </w:rPr>
              <w:t>成员均需获得招标采购专职从业人员能力考评证书（证书上的代理机构名称与</w:t>
            </w:r>
            <w:r>
              <w:rPr>
                <w:rFonts w:hint="eastAsia" w:ascii="仿宋" w:hAnsi="仿宋" w:eastAsia="仿宋" w:cs="华文仿宋"/>
                <w:sz w:val="24"/>
                <w:szCs w:val="24"/>
                <w:highlight w:val="none"/>
              </w:rPr>
              <w:t>申请人</w:t>
            </w:r>
            <w:r>
              <w:rPr>
                <w:rFonts w:hint="eastAsia" w:ascii="仿宋" w:hAnsi="仿宋" w:eastAsia="仿宋" w:cs="华文仿宋"/>
                <w:sz w:val="24"/>
                <w:szCs w:val="24"/>
                <w:highlight w:val="none"/>
              </w:rPr>
              <w:t>营业执照上的名称一致）。</w:t>
            </w:r>
          </w:p>
        </w:tc>
        <w:tc>
          <w:tcPr>
            <w:tcW w:w="583" w:type="dxa"/>
            <w:tcBorders>
              <w:bottom w:val="single" w:color="auto" w:sz="4" w:space="0"/>
            </w:tcBorders>
          </w:tcPr>
          <w:p>
            <w:pPr>
              <w:kinsoku w:val="0"/>
              <w:wordWrap w:val="0"/>
              <w:spacing w:line="0" w:lineRule="atLeas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5" w:hRule="atLeast"/>
          <w:jc w:val="center"/>
        </w:trPr>
        <w:tc>
          <w:tcPr>
            <w:tcW w:w="743" w:type="dxa"/>
            <w:vMerge w:val="continue"/>
            <w:vAlign w:val="center"/>
          </w:tcPr>
          <w:p>
            <w:pPr>
              <w:rPr>
                <w:rFonts w:ascii="仿宋" w:hAnsi="仿宋" w:eastAsia="仿宋" w:cs="华文仿宋"/>
                <w:color w:val="000000"/>
                <w:sz w:val="24"/>
                <w:szCs w:val="24"/>
                <w:highlight w:val="none"/>
              </w:rPr>
            </w:pPr>
          </w:p>
        </w:tc>
        <w:tc>
          <w:tcPr>
            <w:tcW w:w="540" w:type="dxa"/>
            <w:vMerge w:val="continue"/>
            <w:vAlign w:val="center"/>
          </w:tcPr>
          <w:p>
            <w:pPr>
              <w:rPr>
                <w:rFonts w:ascii="仿宋" w:hAnsi="仿宋" w:eastAsia="仿宋" w:cs="华文仿宋"/>
                <w:color w:val="000000"/>
                <w:sz w:val="24"/>
                <w:szCs w:val="24"/>
                <w:highlight w:val="none"/>
              </w:rPr>
            </w:pPr>
          </w:p>
        </w:tc>
        <w:tc>
          <w:tcPr>
            <w:tcW w:w="9915" w:type="dxa"/>
            <w:tcBorders>
              <w:top w:val="single" w:color="auto" w:sz="4" w:space="0"/>
            </w:tcBorders>
            <w:vAlign w:val="center"/>
          </w:tcPr>
          <w:p>
            <w:pP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highlight w:val="none"/>
              </w:rPr>
              <w:t>一般资格要求</w:t>
            </w:r>
            <w:r>
              <w:rPr>
                <w:rFonts w:hint="eastAsia" w:ascii="仿宋" w:hAnsi="仿宋" w:eastAsia="仿宋" w:cs="华文仿宋"/>
                <w:sz w:val="24"/>
                <w:szCs w:val="24"/>
                <w:highlight w:val="none"/>
              </w:rPr>
              <w:t>”外，</w:t>
            </w:r>
            <w:r>
              <w:rPr>
                <w:rFonts w:hint="eastAsia" w:ascii="仿宋" w:hAnsi="仿宋" w:eastAsia="仿宋" w:cs="华文仿宋"/>
                <w:color w:val="000000"/>
                <w:sz w:val="24"/>
                <w:szCs w:val="24"/>
                <w:highlight w:val="none"/>
              </w:rPr>
              <w:t>每提供1名从业证明资料得</w:t>
            </w:r>
            <w:r>
              <w:rPr>
                <w:rFonts w:ascii="仿宋" w:hAnsi="仿宋" w:eastAsia="仿宋" w:cs="华文仿宋"/>
                <w:color w:val="000000"/>
                <w:sz w:val="24"/>
                <w:szCs w:val="24"/>
                <w:highlight w:val="none"/>
              </w:rPr>
              <w:t>0.5</w:t>
            </w:r>
            <w:r>
              <w:rPr>
                <w:rFonts w:hint="eastAsia" w:ascii="仿宋" w:hAnsi="仿宋" w:eastAsia="仿宋" w:cs="华文仿宋"/>
                <w:color w:val="000000"/>
                <w:sz w:val="24"/>
                <w:szCs w:val="24"/>
                <w:highlight w:val="none"/>
              </w:rPr>
              <w:t>分，最多得</w:t>
            </w:r>
            <w:r>
              <w:rPr>
                <w:rFonts w:ascii="仿宋" w:hAnsi="仿宋" w:eastAsia="仿宋" w:cs="华文仿宋"/>
                <w:color w:val="000000"/>
                <w:sz w:val="24"/>
                <w:szCs w:val="24"/>
                <w:highlight w:val="none"/>
              </w:rPr>
              <w:t>2</w:t>
            </w:r>
            <w:r>
              <w:rPr>
                <w:rFonts w:hint="eastAsia" w:ascii="仿宋" w:hAnsi="仿宋" w:eastAsia="仿宋" w:cs="华文仿宋"/>
                <w:color w:val="000000"/>
                <w:sz w:val="24"/>
                <w:szCs w:val="24"/>
                <w:highlight w:val="none"/>
              </w:rPr>
              <w:t>分。(招标采购专职从业人员能力考评证书（</w:t>
            </w:r>
            <w:r>
              <w:rPr>
                <w:rFonts w:hint="eastAsia" w:ascii="仿宋" w:hAnsi="仿宋" w:eastAsia="仿宋" w:cs="华文仿宋"/>
                <w:color w:val="000000"/>
                <w:sz w:val="24"/>
                <w:szCs w:val="24"/>
                <w:highlight w:val="none"/>
              </w:rPr>
              <w:t>近五年内）复印件，招标采购专职从业人员能力考评证书上的代理机构名称与申请人营业执照上的名称一致；申请人</w:t>
            </w:r>
            <w:r>
              <w:rPr>
                <w:rFonts w:hint="eastAsia" w:ascii="仿宋" w:hAnsi="仿宋" w:eastAsia="仿宋" w:cs="华文仿宋"/>
                <w:sz w:val="24"/>
                <w:szCs w:val="24"/>
                <w:highlight w:val="none"/>
              </w:rPr>
              <w:t>为该从业人员三年内缴纳每年不少于一个月的</w:t>
            </w:r>
            <w:r>
              <w:rPr>
                <w:rFonts w:hint="eastAsia" w:ascii="仿宋" w:hAnsi="仿宋" w:eastAsia="仿宋" w:cs="华文仿宋"/>
                <w:color w:val="000000"/>
                <w:sz w:val="24"/>
                <w:szCs w:val="24"/>
                <w:highlight w:val="none"/>
              </w:rPr>
              <w:t>社保证明，需单列每名专职人员社保；提供汇总表的应标注清楚，便于查找，未标注的，不得分）</w:t>
            </w:r>
          </w:p>
        </w:tc>
        <w:tc>
          <w:tcPr>
            <w:tcW w:w="583" w:type="dxa"/>
            <w:tcBorders>
              <w:top w:val="single" w:color="auto" w:sz="4" w:space="0"/>
            </w:tcBorders>
          </w:tcPr>
          <w:p>
            <w:pPr>
              <w:rPr>
                <w:rFonts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2"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企业信誉</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近三年以来代理业务工作中未出现有效投诉、行政处罚、违法（包含工作人员违法）情况的得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分，其余情况不得分。根据投标人提供的自行承诺或情况说明进行打分，若有效投诉、违法情况的公示信息在</w:t>
            </w:r>
            <w:r>
              <w:rPr>
                <w:rFonts w:hint="eastAsia" w:ascii="仿宋" w:hAnsi="仿宋" w:eastAsia="仿宋" w:cs="华文仿宋"/>
                <w:sz w:val="24"/>
                <w:highlight w:val="none"/>
              </w:rPr>
              <w:t>贵州省</w:t>
            </w:r>
            <w:r>
              <w:rPr>
                <w:rFonts w:hint="eastAsia" w:ascii="仿宋" w:hAnsi="仿宋" w:eastAsia="仿宋" w:cs="华文仿宋"/>
                <w:sz w:val="24"/>
                <w:highlight w:val="none"/>
                <w:lang w:val="en-US" w:eastAsia="zh-CN"/>
              </w:rPr>
              <w:t>招标投标公共服务平台</w:t>
            </w:r>
            <w:r>
              <w:rPr>
                <w:rFonts w:hint="eastAsia" w:ascii="仿宋" w:hAnsi="仿宋" w:eastAsia="仿宋" w:cs="华文仿宋"/>
                <w:sz w:val="24"/>
                <w:szCs w:val="24"/>
                <w:highlight w:val="none"/>
              </w:rPr>
              <w:t>被查询到而虚假承诺或未进行情况说明，则视为虚假响应，作无效处理。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6"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pPr>
              <w:jc w:val="center"/>
              <w:rPr>
                <w:rFonts w:ascii="仿宋" w:hAnsi="仿宋" w:eastAsia="仿宋" w:cs="华文仿宋"/>
                <w:color w:val="000000"/>
                <w:sz w:val="24"/>
                <w:szCs w:val="24"/>
                <w:highlight w:val="none"/>
              </w:rPr>
            </w:pP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申请人</w:t>
            </w:r>
            <w:r>
              <w:rPr>
                <w:rFonts w:hint="eastAsia" w:ascii="仿宋" w:hAnsi="仿宋" w:eastAsia="仿宋" w:cs="华文仿宋"/>
                <w:sz w:val="24"/>
                <w:szCs w:val="24"/>
                <w:highlight w:val="none"/>
              </w:rPr>
              <w:t>具有丰富的招标代理经验，提供近三年以来代理的单一招标编号下中标金额达到2000万及以上的工程招标代理业绩5个。</w:t>
            </w:r>
            <w:r>
              <w:rPr>
                <w:rFonts w:ascii="仿宋" w:hAnsi="仿宋" w:eastAsia="仿宋" w:cs="华文仿宋"/>
                <w:sz w:val="24"/>
                <w:szCs w:val="24"/>
                <w:highlight w:val="none"/>
              </w:rPr>
              <w:t>满足得10分</w:t>
            </w:r>
            <w:r>
              <w:rPr>
                <w:rFonts w:hint="eastAsia" w:ascii="仿宋" w:hAnsi="仿宋" w:eastAsia="仿宋" w:cs="华文仿宋"/>
                <w:sz w:val="24"/>
                <w:szCs w:val="24"/>
                <w:highlight w:val="none"/>
              </w:rPr>
              <w:t>，不满足相应扣分。</w:t>
            </w:r>
          </w:p>
          <w:p>
            <w:pPr>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（项目个数以提供的项目清单为准，招标人有权对清单内项目进行核实，凡发现有造假情况的一律按无效处理。中标金额需提供结果公告截图，以公告的中标金额为准）。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743" w:type="dxa"/>
            <w:vAlign w:val="center"/>
          </w:tcPr>
          <w:p>
            <w:pPr>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540"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9915" w:type="dxa"/>
            <w:tcBorders>
              <w:top w:val="single" w:color="auto" w:sz="4" w:space="0"/>
            </w:tcBorders>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w:t>
            </w:r>
            <w:r>
              <w:rPr>
                <w:rFonts w:hint="eastAsia" w:ascii="仿宋" w:hAnsi="仿宋" w:eastAsia="仿宋" w:cs="华文仿宋"/>
                <w:sz w:val="24"/>
                <w:szCs w:val="24"/>
                <w:highlight w:val="none"/>
                <w:lang w:val="en-US" w:eastAsia="zh-CN"/>
              </w:rPr>
              <w:t>招标</w:t>
            </w:r>
            <w:r>
              <w:rPr>
                <w:rFonts w:hint="eastAsia" w:ascii="仿宋" w:hAnsi="仿宋" w:eastAsia="仿宋" w:cs="华文仿宋"/>
                <w:sz w:val="24"/>
                <w:szCs w:val="24"/>
                <w:highlight w:val="none"/>
              </w:rPr>
              <w:t>文件</w:t>
            </w:r>
            <w:r>
              <w:rPr>
                <w:rFonts w:hint="eastAsia" w:ascii="仿宋" w:hAnsi="仿宋" w:eastAsia="仿宋" w:cs="华文仿宋"/>
                <w:sz w:val="24"/>
                <w:szCs w:val="24"/>
                <w:highlight w:val="none"/>
              </w:rPr>
              <w:t>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tcBorders>
          </w:tcPr>
          <w:p>
            <w:pPr>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43" w:type="dxa"/>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540" w:type="dxa"/>
            <w:vAlign w:val="center"/>
          </w:tcPr>
          <w:p>
            <w:pPr>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9915" w:type="dxa"/>
            <w:tcBorders>
              <w:top w:val="single" w:color="auto" w:sz="4" w:space="0"/>
              <w:bottom w:val="single" w:color="auto" w:sz="4" w:space="0"/>
            </w:tcBorders>
          </w:tcPr>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583" w:type="dxa"/>
            <w:tcBorders>
              <w:top w:val="single" w:color="auto" w:sz="4" w:space="0"/>
              <w:bottom w:val="single" w:color="auto" w:sz="4" w:space="0"/>
            </w:tcBorders>
          </w:tcPr>
          <w:p>
            <w:pPr>
              <w:rPr>
                <w:rFonts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43" w:type="dxa"/>
            <w:vAlign w:val="center"/>
          </w:tcPr>
          <w:p>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540" w:type="dxa"/>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9915" w:type="dxa"/>
            <w:tcBorders>
              <w:top w:val="single" w:color="auto" w:sz="4" w:space="0"/>
              <w:bottom w:val="single" w:color="auto" w:sz="4" w:space="0"/>
            </w:tcBorders>
          </w:tcPr>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代理机构在招标文件拟订、公告发布、中标（成交）通知书的签发、汇编资料整理等工作中出现工作失误的，扣5分。</w:t>
            </w:r>
          </w:p>
        </w:tc>
        <w:tc>
          <w:tcPr>
            <w:tcW w:w="583" w:type="dxa"/>
            <w:tcBorders>
              <w:top w:val="single" w:color="auto" w:sz="4" w:space="0"/>
              <w:bottom w:val="single" w:color="auto" w:sz="4" w:space="0"/>
            </w:tcBorders>
          </w:tcPr>
          <w:p>
            <w:pPr>
              <w:rPr>
                <w:rFonts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1198" w:type="dxa"/>
            <w:gridSpan w:val="3"/>
            <w:vAlign w:val="center"/>
          </w:tcPr>
          <w:p>
            <w:pPr>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合 </w:t>
            </w:r>
            <w:r>
              <w:rPr>
                <w:rFonts w:ascii="仿宋" w:hAnsi="仿宋" w:eastAsia="仿宋" w:cs="华文仿宋"/>
                <w:color w:val="000000"/>
                <w:sz w:val="24"/>
                <w:szCs w:val="24"/>
                <w:highlight w:val="none"/>
              </w:rPr>
              <w:t xml:space="preserve">   </w:t>
            </w:r>
            <w:r>
              <w:rPr>
                <w:rFonts w:hint="eastAsia" w:ascii="仿宋" w:hAnsi="仿宋" w:eastAsia="仿宋" w:cs="华文仿宋"/>
                <w:color w:val="000000"/>
                <w:sz w:val="24"/>
                <w:szCs w:val="24"/>
                <w:highlight w:val="none"/>
              </w:rPr>
              <w:t>计</w:t>
            </w:r>
          </w:p>
        </w:tc>
        <w:tc>
          <w:tcPr>
            <w:tcW w:w="583" w:type="dxa"/>
          </w:tcPr>
          <w:p>
            <w:pPr>
              <w:rPr>
                <w:rFonts w:ascii="仿宋" w:hAnsi="仿宋" w:eastAsia="仿宋" w:cs="华文仿宋"/>
                <w:color w:val="000000"/>
                <w:sz w:val="24"/>
                <w:szCs w:val="24"/>
                <w:highlight w:val="none"/>
              </w:rPr>
            </w:pPr>
          </w:p>
        </w:tc>
      </w:tr>
    </w:tbl>
    <w:p>
      <w:pPr>
        <w:ind w:firstLine="560" w:firstLineChars="200"/>
        <w:rPr>
          <w:rFonts w:ascii="仿宋" w:hAnsi="仿宋" w:eastAsia="仿宋" w:cs="仿宋"/>
          <w:sz w:val="28"/>
          <w:szCs w:val="28"/>
          <w:highlight w:val="none"/>
        </w:rPr>
      </w:pPr>
    </w:p>
    <w:p>
      <w:pPr>
        <w:rPr>
          <w:highlight w:val="none"/>
        </w:rPr>
      </w:pPr>
    </w:p>
    <w:p>
      <w:pPr>
        <w:rPr>
          <w:rFonts w:ascii="仿宋" w:hAnsi="仿宋" w:eastAsia="仿宋" w:cs="华文仿宋"/>
          <w:b/>
          <w:bCs/>
          <w:color w:val="000000"/>
          <w:sz w:val="24"/>
          <w:highlight w:val="none"/>
        </w:rPr>
      </w:pPr>
    </w:p>
    <w:p>
      <w:pPr>
        <w:rPr>
          <w:rFonts w:ascii="仿宋" w:hAnsi="仿宋" w:eastAsia="仿宋" w:cs="华文仿宋"/>
          <w:b/>
          <w:bCs/>
          <w:color w:val="000000"/>
          <w:sz w:val="28"/>
          <w:szCs w:val="28"/>
          <w:highlight w:val="none"/>
        </w:rPr>
      </w:pPr>
      <w:r>
        <w:rPr>
          <w:rFonts w:hint="eastAsia" w:ascii="仿宋" w:hAnsi="仿宋" w:eastAsia="仿宋" w:cs="华文仿宋"/>
          <w:b/>
          <w:bCs/>
          <w:color w:val="000000"/>
          <w:sz w:val="28"/>
          <w:szCs w:val="28"/>
          <w:highlight w:val="none"/>
        </w:rPr>
        <w:t xml:space="preserve">评分人： </w:t>
      </w:r>
      <w:r>
        <w:rPr>
          <w:rFonts w:ascii="仿宋" w:hAnsi="仿宋" w:eastAsia="仿宋" w:cs="华文仿宋"/>
          <w:b/>
          <w:bCs/>
          <w:color w:val="000000"/>
          <w:sz w:val="28"/>
          <w:szCs w:val="28"/>
          <w:highlight w:val="none"/>
        </w:rPr>
        <w:t xml:space="preserve">                            </w:t>
      </w:r>
      <w:r>
        <w:rPr>
          <w:rFonts w:hint="eastAsia" w:ascii="仿宋" w:hAnsi="仿宋" w:eastAsia="仿宋" w:cs="华文仿宋"/>
          <w:b/>
          <w:bCs/>
          <w:color w:val="000000"/>
          <w:sz w:val="28"/>
          <w:szCs w:val="28"/>
          <w:highlight w:val="none"/>
        </w:rPr>
        <w:t>日期：</w:t>
      </w:r>
    </w:p>
    <w:p>
      <w:pPr>
        <w:ind w:firstLine="210" w:firstLineChars="100"/>
        <w:outlineLvl w:val="0"/>
        <w:rPr>
          <w:highlight w:val="none"/>
        </w:rPr>
      </w:pPr>
    </w:p>
    <w:p>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27062F"/>
    <w:rsid w:val="00281964"/>
    <w:rsid w:val="00366974"/>
    <w:rsid w:val="003F7DFD"/>
    <w:rsid w:val="004015B1"/>
    <w:rsid w:val="00512BF0"/>
    <w:rsid w:val="005B6B7E"/>
    <w:rsid w:val="00613F65"/>
    <w:rsid w:val="0067502A"/>
    <w:rsid w:val="006D21E7"/>
    <w:rsid w:val="006D3389"/>
    <w:rsid w:val="00716016"/>
    <w:rsid w:val="00762B87"/>
    <w:rsid w:val="007719C8"/>
    <w:rsid w:val="007A5ED4"/>
    <w:rsid w:val="007C79CA"/>
    <w:rsid w:val="007D01B1"/>
    <w:rsid w:val="007D7011"/>
    <w:rsid w:val="008872ED"/>
    <w:rsid w:val="00B00CC4"/>
    <w:rsid w:val="00B15F09"/>
    <w:rsid w:val="00B313DB"/>
    <w:rsid w:val="00CA3AE9"/>
    <w:rsid w:val="00D579FD"/>
    <w:rsid w:val="00E159AC"/>
    <w:rsid w:val="00E472E7"/>
    <w:rsid w:val="00E97869"/>
    <w:rsid w:val="00F63AF3"/>
    <w:rsid w:val="00F81DA5"/>
    <w:rsid w:val="06A22DDA"/>
    <w:rsid w:val="0EA82A7D"/>
    <w:rsid w:val="0F0144A2"/>
    <w:rsid w:val="1BFC20E1"/>
    <w:rsid w:val="3B5E604F"/>
    <w:rsid w:val="4AEB27D5"/>
    <w:rsid w:val="4DB63EEA"/>
    <w:rsid w:val="54C82292"/>
    <w:rsid w:val="57B72D6B"/>
    <w:rsid w:val="622301BA"/>
    <w:rsid w:val="704246BB"/>
    <w:rsid w:val="70ED7848"/>
    <w:rsid w:val="710C1544"/>
    <w:rsid w:val="797F23B2"/>
    <w:rsid w:val="7B71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2625</Words>
  <Characters>2698</Characters>
  <Lines>21</Lines>
  <Paragraphs>6</Paragraphs>
  <TotalTime>1</TotalTime>
  <ScaleCrop>false</ScaleCrop>
  <LinksUpToDate>false</LinksUpToDate>
  <CharactersWithSpaces>2922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2022-06-27T06:04:15Z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010350EDE6614A56A791A1EB5E1DFBD3</vt:lpwstr>
  </property>
</Properties>
</file>