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仿宋" w:hAnsi="仿宋" w:eastAsia="仿宋"/>
        </w:rPr>
      </w:pPr>
      <w:r>
        <w:rPr>
          <w:rStyle w:val="7"/>
          <w:rFonts w:hint="eastAsia" w:ascii="仿宋" w:hAnsi="仿宋" w:eastAsia="仿宋"/>
        </w:rPr>
        <w:t>贵州商学院图书馆家具及标识采购项目</w:t>
      </w:r>
    </w:p>
    <w:p>
      <w:pPr>
        <w:jc w:val="center"/>
        <w:rPr>
          <w:rFonts w:ascii="仿宋" w:hAnsi="仿宋" w:eastAsia="仿宋"/>
          <w:b/>
          <w:kern w:val="44"/>
          <w:sz w:val="32"/>
          <w:szCs w:val="48"/>
        </w:rPr>
      </w:pPr>
      <w:r>
        <w:rPr>
          <w:rStyle w:val="7"/>
          <w:rFonts w:hint="eastAsia" w:ascii="仿宋" w:hAnsi="仿宋" w:eastAsia="仿宋"/>
        </w:rPr>
        <w:t>招标代理机构遴选公告</w:t>
      </w:r>
    </w:p>
    <w:p>
      <w:pPr>
        <w:ind w:firstLine="560" w:firstLineChars="200"/>
        <w:jc w:val="left"/>
        <w:rPr>
          <w:rFonts w:ascii="仿宋" w:hAnsi="仿宋" w:eastAsia="仿宋"/>
          <w:sz w:val="28"/>
          <w:szCs w:val="28"/>
        </w:rPr>
      </w:pPr>
      <w:r>
        <w:rPr>
          <w:rFonts w:hint="eastAsia" w:ascii="仿宋" w:hAnsi="仿宋" w:eastAsia="仿宋" w:cs="华文仿宋"/>
          <w:sz w:val="28"/>
          <w:szCs w:val="28"/>
        </w:rPr>
        <w:t>我院近期拟实施</w:t>
      </w:r>
      <w:r>
        <w:rPr>
          <w:rFonts w:hint="eastAsia" w:ascii="仿宋" w:hAnsi="仿宋" w:eastAsia="仿宋" w:cs="华文仿宋"/>
          <w:sz w:val="28"/>
          <w:szCs w:val="28"/>
          <w:u w:val="single"/>
        </w:rPr>
        <w:t>贵州商学院图书馆家具及标识采购项目</w:t>
      </w:r>
      <w:r>
        <w:rPr>
          <w:rFonts w:hint="eastAsia" w:ascii="仿宋" w:hAnsi="仿宋" w:eastAsia="仿宋" w:cs="华文仿宋"/>
          <w:sz w:val="28"/>
          <w:szCs w:val="28"/>
        </w:rPr>
        <w:t>相关工作。为做好学院的招标工作，我院拟通过遴选方式确定</w:t>
      </w:r>
      <w:r>
        <w:rPr>
          <w:rFonts w:hint="eastAsia" w:ascii="仿宋" w:hAnsi="仿宋" w:eastAsia="仿宋" w:cs="华文仿宋"/>
          <w:sz w:val="28"/>
          <w:szCs w:val="28"/>
          <w:u w:val="single"/>
        </w:rPr>
        <w:t>贵州商学院图书馆家具及标识采购项目</w:t>
      </w:r>
      <w:r>
        <w:rPr>
          <w:rFonts w:hint="eastAsia" w:ascii="仿宋" w:hAnsi="仿宋" w:eastAsia="仿宋" w:cs="华文仿宋"/>
          <w:sz w:val="28"/>
          <w:szCs w:val="28"/>
        </w:rPr>
        <w:t>招标代理机构，负责</w:t>
      </w:r>
      <w:r>
        <w:rPr>
          <w:rFonts w:hint="eastAsia" w:ascii="仿宋" w:hAnsi="仿宋" w:eastAsia="仿宋" w:cs="华文仿宋"/>
          <w:sz w:val="28"/>
          <w:szCs w:val="28"/>
          <w:u w:val="single"/>
        </w:rPr>
        <w:t>贵州商学院图书馆家具及标识采购项目</w:t>
      </w:r>
      <w:r>
        <w:rPr>
          <w:rFonts w:hint="eastAsia" w:ascii="仿宋" w:hAnsi="仿宋" w:eastAsia="仿宋" w:cs="华文仿宋"/>
          <w:sz w:val="28"/>
          <w:szCs w:val="28"/>
        </w:rPr>
        <w:t>的招标代理工作，公告有效期三天。具体如下：</w:t>
      </w:r>
    </w:p>
    <w:tbl>
      <w:tblPr>
        <w:tblStyle w:val="5"/>
        <w:tblW w:w="5235" w:type="pct"/>
        <w:tblInd w:w="-17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830"/>
        <w:gridCol w:w="63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bCs/>
                <w:sz w:val="28"/>
                <w:szCs w:val="28"/>
                <w:highlight w:val="none"/>
              </w:rPr>
            </w:pPr>
            <w:bookmarkStart w:id="0" w:name="_GoBack"/>
            <w:r>
              <w:rPr>
                <w:rFonts w:hint="eastAsia" w:ascii="仿宋" w:hAnsi="仿宋" w:eastAsia="仿宋" w:cs="华文仿宋"/>
                <w:bCs/>
                <w:sz w:val="28"/>
                <w:szCs w:val="28"/>
                <w:highlight w:val="none"/>
              </w:rPr>
              <w:t>序号</w:t>
            </w:r>
          </w:p>
        </w:tc>
        <w:tc>
          <w:tcPr>
            <w:tcW w:w="1025"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内    容</w:t>
            </w:r>
          </w:p>
        </w:tc>
        <w:tc>
          <w:tcPr>
            <w:tcW w:w="3537"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p>
        </w:tc>
        <w:tc>
          <w:tcPr>
            <w:tcW w:w="1025" w:type="pct"/>
          </w:tcPr>
          <w:p>
            <w:pPr>
              <w:rPr>
                <w:rFonts w:ascii="仿宋" w:hAnsi="仿宋" w:eastAsia="仿宋" w:cs="华文仿宋"/>
                <w:sz w:val="24"/>
                <w:highlight w:val="none"/>
              </w:rPr>
            </w:pPr>
            <w:r>
              <w:rPr>
                <w:rFonts w:hint="eastAsia" w:ascii="仿宋" w:hAnsi="仿宋" w:eastAsia="仿宋" w:cs="华文仿宋"/>
                <w:sz w:val="24"/>
                <w:highlight w:val="none"/>
              </w:rPr>
              <w:t>项目名称</w:t>
            </w:r>
          </w:p>
        </w:tc>
        <w:tc>
          <w:tcPr>
            <w:tcW w:w="3537" w:type="pct"/>
          </w:tcPr>
          <w:p>
            <w:pPr>
              <w:jc w:val="left"/>
              <w:rPr>
                <w:rFonts w:ascii="仿宋" w:hAnsi="仿宋" w:eastAsia="仿宋" w:cs="华文仿宋"/>
                <w:sz w:val="24"/>
                <w:highlight w:val="none"/>
              </w:rPr>
            </w:pPr>
            <w:r>
              <w:rPr>
                <w:rFonts w:hint="eastAsia" w:ascii="仿宋" w:hAnsi="仿宋" w:eastAsia="仿宋" w:cs="华文仿宋"/>
                <w:sz w:val="24"/>
                <w:highlight w:val="none"/>
              </w:rPr>
              <w:t>贵州商学院图书馆家具及标识采购项目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2</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项目编号</w:t>
            </w:r>
          </w:p>
        </w:tc>
        <w:tc>
          <w:tcPr>
            <w:tcW w:w="3537" w:type="pct"/>
            <w:vAlign w:val="center"/>
          </w:tcPr>
          <w:p>
            <w:pPr>
              <w:rPr>
                <w:rFonts w:hint="default" w:ascii="仿宋" w:hAnsi="仿宋" w:eastAsia="仿宋" w:cs="华文仿宋"/>
                <w:sz w:val="24"/>
                <w:highlight w:val="none"/>
                <w:lang w:val="en-US" w:eastAsia="zh-CN"/>
              </w:rPr>
            </w:pPr>
            <w:r>
              <w:rPr>
                <w:rFonts w:hint="eastAsia" w:ascii="仿宋" w:hAnsi="仿宋" w:eastAsia="仿宋" w:cs="华文仿宋"/>
                <w:sz w:val="24"/>
                <w:highlight w:val="none"/>
              </w:rPr>
              <w:t>G</w:t>
            </w:r>
            <w:r>
              <w:rPr>
                <w:rFonts w:ascii="仿宋" w:hAnsi="仿宋" w:eastAsia="仿宋" w:cs="华文仿宋"/>
                <w:sz w:val="24"/>
                <w:highlight w:val="none"/>
              </w:rPr>
              <w:t>ZSXY-202</w:t>
            </w:r>
            <w:r>
              <w:rPr>
                <w:rFonts w:hint="eastAsia" w:ascii="仿宋" w:hAnsi="仿宋" w:eastAsia="仿宋" w:cs="华文仿宋"/>
                <w:sz w:val="24"/>
                <w:highlight w:val="none"/>
                <w:lang w:val="en-US" w:eastAsia="zh-CN"/>
              </w:rPr>
              <w:t>2</w:t>
            </w:r>
            <w:r>
              <w:rPr>
                <w:rFonts w:ascii="仿宋" w:hAnsi="仿宋" w:eastAsia="仿宋" w:cs="华文仿宋"/>
                <w:sz w:val="24"/>
                <w:highlight w:val="none"/>
              </w:rPr>
              <w:t>-ZBDL-</w:t>
            </w:r>
            <w:r>
              <w:rPr>
                <w:rFonts w:hint="eastAsia" w:ascii="仿宋" w:hAnsi="仿宋" w:eastAsia="仿宋" w:cs="华文仿宋"/>
                <w:sz w:val="24"/>
                <w:highlight w:val="none"/>
                <w:lang w:val="en-US" w:eastAsia="zh-CN"/>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3</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遴选方式</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4</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评审方法</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详见《综合评分表》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5</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申请书格式要求</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申请书分两部分（分别胶装成册并分别密封</w:t>
            </w:r>
            <w:r>
              <w:rPr>
                <w:rFonts w:hint="eastAsia" w:ascii="仿宋" w:hAnsi="仿宋" w:eastAsia="仿宋" w:cs="华文仿宋"/>
                <w:sz w:val="24"/>
                <w:highlight w:val="none"/>
                <w:lang w:val="en-US" w:eastAsia="zh-CN"/>
              </w:rPr>
              <w:t>,</w:t>
            </w:r>
            <w:r>
              <w:rPr>
                <w:rFonts w:hint="eastAsia" w:ascii="仿宋" w:hAnsi="仿宋" w:eastAsia="仿宋" w:cs="华文仿宋"/>
                <w:sz w:val="24"/>
                <w:highlight w:val="none"/>
                <w:lang w:val="en-US" w:eastAsia="zh-CN"/>
              </w:rPr>
              <w:t>内容按要求排序</w:t>
            </w:r>
            <w:r>
              <w:rPr>
                <w:rFonts w:hint="eastAsia" w:ascii="仿宋" w:hAnsi="仿宋" w:eastAsia="仿宋" w:cs="华文仿宋"/>
                <w:sz w:val="24"/>
                <w:highlight w:val="none"/>
              </w:rPr>
              <w:t>）：</w:t>
            </w:r>
          </w:p>
          <w:p>
            <w:pPr>
              <w:rPr>
                <w:rFonts w:ascii="仿宋" w:hAnsi="仿宋" w:eastAsia="仿宋" w:cs="华文仿宋"/>
                <w:sz w:val="24"/>
                <w:highlight w:val="none"/>
              </w:rPr>
            </w:pPr>
            <w:r>
              <w:rPr>
                <w:rFonts w:hint="eastAsia" w:ascii="仿宋" w:hAnsi="仿宋" w:eastAsia="仿宋" w:cs="华文仿宋"/>
                <w:sz w:val="24"/>
                <w:highlight w:val="none"/>
              </w:rPr>
              <w:t>一、对申请书、授权书、声明、一般资格要求、委托服务内容等的响应资料。</w:t>
            </w:r>
          </w:p>
          <w:p>
            <w:pPr>
              <w:rPr>
                <w:rFonts w:ascii="仿宋" w:hAnsi="仿宋" w:eastAsia="仿宋" w:cs="华文仿宋"/>
                <w:sz w:val="24"/>
                <w:highlight w:val="none"/>
              </w:rPr>
            </w:pPr>
            <w:r>
              <w:rPr>
                <w:rFonts w:hint="eastAsia" w:ascii="仿宋" w:hAnsi="仿宋" w:eastAsia="仿宋" w:cs="华文仿宋"/>
                <w:sz w:val="24"/>
                <w:highlight w:val="none"/>
              </w:rPr>
              <w:t>二、对《综合评分表》所涉及内容的响应资料。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6</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申请书提交地点</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贵州省贵阳市白云区二十六大道1号贵州商学院思齐楼2</w:t>
            </w:r>
            <w:r>
              <w:rPr>
                <w:rFonts w:ascii="仿宋" w:hAnsi="仿宋" w:eastAsia="仿宋" w:cs="华文仿宋"/>
                <w:sz w:val="24"/>
                <w:highlight w:val="none"/>
              </w:rPr>
              <w:t>03</w:t>
            </w:r>
            <w:r>
              <w:rPr>
                <w:rFonts w:hint="eastAsia" w:ascii="仿宋" w:hAnsi="仿宋" w:eastAsia="仿宋" w:cs="华文仿宋"/>
                <w:sz w:val="24"/>
                <w:highlight w:val="non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7</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申请书提交截止时间</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202</w:t>
            </w:r>
            <w:r>
              <w:rPr>
                <w:rFonts w:hint="eastAsia" w:ascii="仿宋" w:hAnsi="仿宋" w:eastAsia="仿宋" w:cs="华文仿宋"/>
                <w:sz w:val="24"/>
                <w:highlight w:val="none"/>
                <w:lang w:val="en-US" w:eastAsia="zh-CN"/>
              </w:rPr>
              <w:t>2</w:t>
            </w:r>
            <w:r>
              <w:rPr>
                <w:rFonts w:hint="eastAsia" w:ascii="仿宋" w:hAnsi="仿宋" w:eastAsia="仿宋" w:cs="华文仿宋"/>
                <w:sz w:val="24"/>
                <w:highlight w:val="none"/>
              </w:rPr>
              <w:t>年</w:t>
            </w:r>
            <w:r>
              <w:rPr>
                <w:rFonts w:hint="eastAsia" w:ascii="仿宋" w:hAnsi="仿宋" w:eastAsia="仿宋" w:cs="华文仿宋"/>
                <w:sz w:val="24"/>
                <w:highlight w:val="none"/>
                <w:lang w:val="en-US" w:eastAsia="zh-CN"/>
              </w:rPr>
              <w:t>4</w:t>
            </w:r>
            <w:r>
              <w:rPr>
                <w:rFonts w:hint="eastAsia" w:ascii="仿宋" w:hAnsi="仿宋" w:eastAsia="仿宋" w:cs="华文仿宋"/>
                <w:sz w:val="24"/>
                <w:highlight w:val="none"/>
              </w:rPr>
              <w:t>月</w:t>
            </w:r>
            <w:r>
              <w:rPr>
                <w:rFonts w:hint="eastAsia" w:ascii="仿宋" w:hAnsi="仿宋" w:eastAsia="仿宋" w:cs="华文仿宋"/>
                <w:sz w:val="24"/>
                <w:highlight w:val="none"/>
                <w:lang w:val="en-US" w:eastAsia="zh-CN"/>
              </w:rPr>
              <w:t>21</w:t>
            </w:r>
            <w:r>
              <w:rPr>
                <w:rFonts w:hint="eastAsia" w:ascii="仿宋" w:hAnsi="仿宋" w:eastAsia="仿宋" w:cs="华文仿宋"/>
                <w:sz w:val="24"/>
                <w:highlight w:val="none"/>
              </w:rPr>
              <w:t>日</w:t>
            </w:r>
            <w:r>
              <w:rPr>
                <w:rFonts w:hint="eastAsia" w:ascii="仿宋" w:hAnsi="仿宋" w:eastAsia="仿宋" w:cs="华文仿宋"/>
                <w:sz w:val="24"/>
                <w:highlight w:val="none"/>
                <w:lang w:val="en-US" w:eastAsia="zh-CN"/>
              </w:rPr>
              <w:t>11</w:t>
            </w:r>
            <w:r>
              <w:rPr>
                <w:rFonts w:hint="eastAsia" w:ascii="仿宋" w:hAnsi="仿宋" w:eastAsia="仿宋" w:cs="华文仿宋"/>
                <w:sz w:val="24"/>
                <w:highlight w:val="none"/>
              </w:rPr>
              <w:t>:</w:t>
            </w:r>
            <w:r>
              <w:rPr>
                <w:rFonts w:ascii="仿宋" w:hAnsi="仿宋" w:eastAsia="仿宋" w:cs="华文仿宋"/>
                <w:sz w:val="24"/>
                <w:highlight w:val="none"/>
              </w:rPr>
              <w:t>00</w:t>
            </w:r>
            <w:r>
              <w:rPr>
                <w:rFonts w:hint="eastAsia" w:ascii="仿宋" w:hAnsi="仿宋" w:eastAsia="仿宋" w:cs="华文仿宋"/>
                <w:sz w:val="24"/>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tcPr>
          <w:p>
            <w:pPr>
              <w:ind w:firstLine="280" w:firstLineChars="100"/>
              <w:rPr>
                <w:rFonts w:ascii="仿宋" w:hAnsi="仿宋" w:eastAsia="仿宋" w:cs="华文仿宋"/>
                <w:sz w:val="28"/>
                <w:szCs w:val="28"/>
                <w:highlight w:val="none"/>
              </w:rPr>
            </w:pPr>
            <w:r>
              <w:rPr>
                <w:rFonts w:hint="eastAsia" w:ascii="仿宋" w:hAnsi="仿宋" w:eastAsia="仿宋" w:cs="华文仿宋"/>
                <w:sz w:val="28"/>
                <w:szCs w:val="28"/>
                <w:highlight w:val="none"/>
              </w:rPr>
              <w:t>8</w:t>
            </w:r>
          </w:p>
        </w:tc>
        <w:tc>
          <w:tcPr>
            <w:tcW w:w="1025" w:type="pct"/>
          </w:tcPr>
          <w:p>
            <w:pPr>
              <w:rPr>
                <w:rFonts w:ascii="仿宋" w:hAnsi="仿宋" w:eastAsia="仿宋" w:cs="华文仿宋"/>
                <w:sz w:val="24"/>
                <w:highlight w:val="none"/>
              </w:rPr>
            </w:pPr>
            <w:r>
              <w:rPr>
                <w:rFonts w:hint="eastAsia" w:ascii="仿宋" w:hAnsi="仿宋" w:eastAsia="仿宋" w:cs="华文仿宋"/>
                <w:sz w:val="24"/>
                <w:highlight w:val="none"/>
              </w:rPr>
              <w:t>遴选地点</w:t>
            </w:r>
          </w:p>
        </w:tc>
        <w:tc>
          <w:tcPr>
            <w:tcW w:w="3537" w:type="pct"/>
          </w:tcPr>
          <w:p>
            <w:pPr>
              <w:rPr>
                <w:rFonts w:ascii="仿宋" w:hAnsi="仿宋" w:eastAsia="仿宋" w:cs="华文仿宋"/>
                <w:sz w:val="24"/>
                <w:highlight w:val="none"/>
              </w:rPr>
            </w:pPr>
            <w:r>
              <w:rPr>
                <w:rFonts w:hint="eastAsia" w:ascii="仿宋" w:hAnsi="仿宋" w:eastAsia="仿宋" w:cs="华文仿宋"/>
                <w:sz w:val="24"/>
                <w:highlight w:val="none"/>
              </w:rPr>
              <w:t>贵州商学院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9</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一般资格要求</w:t>
            </w:r>
          </w:p>
        </w:tc>
        <w:tc>
          <w:tcPr>
            <w:tcW w:w="3537" w:type="pct"/>
            <w:vAlign w:val="center"/>
          </w:tcPr>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1.具有独立承担民事责任的能力：具有独立法人资格，提供营业执照及税务登记证、组织机构代码证或三证合一的营业执照副本复印件加盖公章。</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2.具有良好的商业信誉和健全的财务会计制度</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具体要求：提供近两年经合法审计机构审计出具的财务报表（含资产负债表、利润表、现金流量表、审计报告）（复印件加盖公章）。</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3.具有履行合同所必须的设备和专业技术能力。</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提供具有履行合同所必须的设备和专业技术能力的书面声明（格式自拟）。</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4.具有依法缴纳税收和社会保障资金的良好记录</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具体要求：提供上一年度内任意三个月的依法缴纳税收证明和社保缴纳记录复印件加盖公章。</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5.提供贵州省政府采购网代理机构注册名单截图。</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6.参加本次遴选的申请人须在贵阳市区设有固定、独立的办公场所，并提供加盖公章的办公场所所有权证复印件或办公场所租赁合同复印件。</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7.专职从业人员：拥有不少于5名熟悉政府采购法律法规、具备编制采购文件和组织采购活动等相应能力的专职从业人员。需提供：</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①贵州省财政厅</w:t>
            </w:r>
            <w:r>
              <w:rPr>
                <w:rFonts w:hint="eastAsia" w:ascii="仿宋" w:hAnsi="仿宋" w:eastAsia="仿宋" w:cs="华文仿宋"/>
                <w:color w:val="000000" w:themeColor="text1"/>
                <w:sz w:val="24"/>
                <w:highlight w:val="none"/>
                <w:lang w:val="en-US" w:eastAsia="zh-CN"/>
                <w14:textFill>
                  <w14:solidFill>
                    <w14:schemeClr w14:val="tx1"/>
                  </w14:solidFill>
                </w14:textFill>
              </w:rPr>
              <w:t>近三</w:t>
            </w:r>
            <w:r>
              <w:rPr>
                <w:rFonts w:hint="eastAsia" w:ascii="仿宋" w:hAnsi="仿宋" w:eastAsia="仿宋" w:cs="华文仿宋"/>
                <w:color w:val="000000" w:themeColor="text1"/>
                <w:sz w:val="24"/>
                <w:highlight w:val="none"/>
                <w14:textFill>
                  <w14:solidFill>
                    <w14:schemeClr w14:val="tx1"/>
                  </w14:solidFill>
                </w14:textFill>
              </w:rPr>
              <w:t>年颁发的政府采购代理机构专职人员继续教育培训合格证书（有效期</w:t>
            </w:r>
            <w:r>
              <w:rPr>
                <w:rFonts w:hint="eastAsia" w:ascii="仿宋" w:hAnsi="仿宋" w:eastAsia="仿宋" w:cs="华文仿宋"/>
                <w:color w:val="000000" w:themeColor="text1"/>
                <w:sz w:val="24"/>
                <w:highlight w:val="none"/>
                <w:lang w:val="en-US" w:eastAsia="zh-CN"/>
                <w14:textFill>
                  <w14:solidFill>
                    <w14:schemeClr w14:val="tx1"/>
                  </w14:solidFill>
                </w14:textFill>
              </w:rPr>
              <w:t>为2018、2019、2020年</w:t>
            </w:r>
            <w:r>
              <w:rPr>
                <w:rFonts w:hint="eastAsia" w:ascii="仿宋" w:hAnsi="仿宋" w:eastAsia="仿宋" w:cs="华文仿宋"/>
                <w:color w:val="000000" w:themeColor="text1"/>
                <w:sz w:val="24"/>
                <w:highlight w:val="none"/>
                <w14:textFill>
                  <w14:solidFill>
                    <w14:schemeClr w14:val="tx1"/>
                  </w14:solidFill>
                </w14:textFill>
              </w:rPr>
              <w:t>）复印件；</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②培训合格证书上的代理机构名称与申请人营业执照上的名称一致；</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③提供该5名专职从业人员由申请人缴纳的近一年连续三个月的社保证明（需单列每名专职人员社保；提供汇总表的应标注清楚，便于查找，未标注的，不予通过）。</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8.满足比选人对代理费的要求</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①招标代理费按《招标代理服务收费管理暂行办法》（计价格【2</w:t>
            </w:r>
            <w:r>
              <w:rPr>
                <w:rFonts w:ascii="仿宋" w:hAnsi="仿宋" w:eastAsia="仿宋" w:cs="华文仿宋"/>
                <w:color w:val="000000" w:themeColor="text1"/>
                <w:sz w:val="24"/>
                <w:highlight w:val="none"/>
                <w14:textFill>
                  <w14:solidFill>
                    <w14:schemeClr w14:val="tx1"/>
                  </w14:solidFill>
                </w14:textFill>
              </w:rPr>
              <w:t>002</w:t>
            </w:r>
            <w:r>
              <w:rPr>
                <w:rFonts w:hint="eastAsia" w:ascii="仿宋" w:hAnsi="仿宋" w:eastAsia="仿宋" w:cs="华文仿宋"/>
                <w:color w:val="000000" w:themeColor="text1"/>
                <w:sz w:val="24"/>
                <w:highlight w:val="none"/>
                <w14:textFill>
                  <w14:solidFill>
                    <w14:schemeClr w14:val="tx1"/>
                  </w14:solidFill>
                </w14:textFill>
              </w:rPr>
              <w:t>】1</w:t>
            </w:r>
            <w:r>
              <w:rPr>
                <w:rFonts w:ascii="仿宋" w:hAnsi="仿宋" w:eastAsia="仿宋" w:cs="华文仿宋"/>
                <w:color w:val="000000" w:themeColor="text1"/>
                <w:sz w:val="24"/>
                <w:highlight w:val="none"/>
                <w14:textFill>
                  <w14:solidFill>
                    <w14:schemeClr w14:val="tx1"/>
                  </w14:solidFill>
                </w14:textFill>
              </w:rPr>
              <w:t>980</w:t>
            </w:r>
            <w:r>
              <w:rPr>
                <w:rFonts w:hint="eastAsia" w:ascii="仿宋" w:hAnsi="仿宋" w:eastAsia="仿宋" w:cs="华文仿宋"/>
                <w:color w:val="000000" w:themeColor="text1"/>
                <w:sz w:val="24"/>
                <w:highlight w:val="none"/>
                <w14:textFill>
                  <w14:solidFill>
                    <w14:schemeClr w14:val="tx1"/>
                  </w14:solidFill>
                </w14:textFill>
              </w:rPr>
              <w:t>号）</w:t>
            </w:r>
          </w:p>
          <w:p>
            <w:pPr>
              <w:rPr>
                <w:rFonts w:ascii="仿宋" w:hAnsi="仿宋" w:eastAsia="仿宋" w:cs="华文仿宋"/>
                <w:color w:val="000000" w:themeColor="text1"/>
                <w:sz w:val="24"/>
                <w:highlight w:val="none"/>
                <w14:textFill>
                  <w14:solidFill>
                    <w14:schemeClr w14:val="tx1"/>
                  </w14:solidFill>
                </w14:textFill>
              </w:rPr>
            </w:pPr>
            <w:r>
              <w:rPr>
                <w:rFonts w:hint="eastAsia" w:ascii="仿宋" w:hAnsi="仿宋" w:eastAsia="仿宋" w:cs="华文仿宋"/>
                <w:color w:val="000000" w:themeColor="text1"/>
                <w:sz w:val="24"/>
                <w:highlight w:val="none"/>
                <w14:textFill>
                  <w14:solidFill>
                    <w14:schemeClr w14:val="tx1"/>
                  </w14:solidFill>
                </w14:textFill>
              </w:rPr>
              <w:t>②招标代理费最低下浮2</w:t>
            </w:r>
            <w:r>
              <w:rPr>
                <w:rFonts w:ascii="仿宋" w:hAnsi="仿宋" w:eastAsia="仿宋" w:cs="华文仿宋"/>
                <w:color w:val="000000" w:themeColor="text1"/>
                <w:sz w:val="24"/>
                <w:highlight w:val="none"/>
                <w14:textFill>
                  <w14:solidFill>
                    <w14:schemeClr w14:val="tx1"/>
                  </w14:solidFill>
                </w14:textFill>
              </w:rPr>
              <w:t>0%</w:t>
            </w:r>
            <w:r>
              <w:rPr>
                <w:rFonts w:hint="eastAsia" w:ascii="仿宋" w:hAnsi="仿宋" w:eastAsia="仿宋" w:cs="华文仿宋"/>
                <w:color w:val="000000" w:themeColor="text1"/>
                <w:sz w:val="24"/>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r>
              <w:rPr>
                <w:rFonts w:ascii="仿宋" w:hAnsi="仿宋" w:eastAsia="仿宋" w:cs="华文仿宋"/>
                <w:sz w:val="28"/>
                <w:szCs w:val="28"/>
                <w:highlight w:val="none"/>
              </w:rPr>
              <w:t>0</w:t>
            </w:r>
          </w:p>
        </w:tc>
        <w:tc>
          <w:tcPr>
            <w:tcW w:w="1025"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委托服务内容</w:t>
            </w:r>
          </w:p>
        </w:tc>
        <w:tc>
          <w:tcPr>
            <w:tcW w:w="3537" w:type="pct"/>
            <w:vAlign w:val="center"/>
          </w:tcPr>
          <w:p>
            <w:pPr>
              <w:rPr>
                <w:rFonts w:ascii="仿宋" w:hAnsi="仿宋" w:eastAsia="仿宋" w:cs="华文仿宋"/>
                <w:sz w:val="24"/>
                <w:highlight w:val="none"/>
              </w:rPr>
            </w:pPr>
            <w:r>
              <w:rPr>
                <w:rFonts w:hint="eastAsia" w:ascii="仿宋" w:hAnsi="仿宋" w:eastAsia="仿宋" w:cs="华文仿宋"/>
                <w:sz w:val="24"/>
                <w:highlight w:val="none"/>
              </w:rPr>
              <w:t>1、办理批复；</w:t>
            </w:r>
          </w:p>
          <w:p>
            <w:pPr>
              <w:rPr>
                <w:rFonts w:ascii="仿宋" w:hAnsi="仿宋" w:eastAsia="仿宋" w:cs="华文仿宋"/>
                <w:sz w:val="24"/>
                <w:highlight w:val="none"/>
              </w:rPr>
            </w:pPr>
            <w:r>
              <w:rPr>
                <w:rFonts w:hint="eastAsia" w:ascii="仿宋" w:hAnsi="仿宋" w:eastAsia="仿宋" w:cs="华文仿宋"/>
                <w:sz w:val="24"/>
                <w:highlight w:val="none"/>
              </w:rPr>
              <w:t>2、编制、确认、发售招标文件；</w:t>
            </w:r>
          </w:p>
          <w:p>
            <w:pPr>
              <w:rPr>
                <w:rFonts w:ascii="仿宋" w:hAnsi="仿宋" w:eastAsia="仿宋" w:cs="华文仿宋"/>
                <w:sz w:val="24"/>
                <w:highlight w:val="none"/>
              </w:rPr>
            </w:pPr>
            <w:r>
              <w:rPr>
                <w:rFonts w:hint="eastAsia" w:ascii="仿宋" w:hAnsi="仿宋" w:eastAsia="仿宋" w:cs="华文仿宋"/>
                <w:sz w:val="24"/>
                <w:highlight w:val="none"/>
              </w:rPr>
              <w:t>3、解释招标文件，回复质疑；根据项目需求组织专家对招标文件进行评审；</w:t>
            </w:r>
          </w:p>
          <w:p>
            <w:pPr>
              <w:rPr>
                <w:rFonts w:ascii="仿宋" w:hAnsi="仿宋" w:eastAsia="仿宋" w:cs="华文仿宋"/>
                <w:sz w:val="24"/>
                <w:highlight w:val="none"/>
              </w:rPr>
            </w:pPr>
            <w:r>
              <w:rPr>
                <w:rFonts w:hint="eastAsia" w:ascii="仿宋" w:hAnsi="仿宋" w:eastAsia="仿宋" w:cs="华文仿宋"/>
                <w:sz w:val="24"/>
                <w:highlight w:val="none"/>
              </w:rPr>
              <w:t>4、在指定媒体上发布招标公告或采购邀请；</w:t>
            </w:r>
          </w:p>
          <w:p>
            <w:pPr>
              <w:rPr>
                <w:rFonts w:ascii="仿宋" w:hAnsi="仿宋" w:eastAsia="仿宋" w:cs="华文仿宋"/>
                <w:sz w:val="24"/>
                <w:highlight w:val="none"/>
              </w:rPr>
            </w:pPr>
            <w:r>
              <w:rPr>
                <w:rFonts w:hint="eastAsia" w:ascii="仿宋" w:hAnsi="仿宋" w:eastAsia="仿宋" w:cs="华文仿宋"/>
                <w:sz w:val="24"/>
                <w:highlight w:val="none"/>
              </w:rPr>
              <w:t>5、落实开标时间、地点；</w:t>
            </w:r>
          </w:p>
          <w:p>
            <w:pPr>
              <w:rPr>
                <w:rFonts w:ascii="仿宋" w:hAnsi="仿宋" w:eastAsia="仿宋" w:cs="华文仿宋"/>
                <w:sz w:val="24"/>
                <w:highlight w:val="none"/>
              </w:rPr>
            </w:pPr>
            <w:r>
              <w:rPr>
                <w:rFonts w:hint="eastAsia" w:ascii="仿宋" w:hAnsi="仿宋" w:eastAsia="仿宋" w:cs="华文仿宋"/>
                <w:sz w:val="24"/>
                <w:highlight w:val="none"/>
              </w:rPr>
              <w:t>6、编制评标办法；</w:t>
            </w:r>
          </w:p>
          <w:p>
            <w:pPr>
              <w:rPr>
                <w:rFonts w:ascii="仿宋" w:hAnsi="仿宋" w:eastAsia="仿宋" w:cs="华文仿宋"/>
                <w:sz w:val="24"/>
                <w:highlight w:val="none"/>
              </w:rPr>
            </w:pPr>
            <w:r>
              <w:rPr>
                <w:rFonts w:hint="eastAsia" w:ascii="仿宋" w:hAnsi="仿宋" w:eastAsia="仿宋" w:cs="华文仿宋"/>
                <w:sz w:val="24"/>
                <w:highlight w:val="none"/>
              </w:rPr>
              <w:t>7、抽取专家，组建评标委员会；</w:t>
            </w:r>
          </w:p>
          <w:p>
            <w:pPr>
              <w:rPr>
                <w:rFonts w:ascii="仿宋" w:hAnsi="仿宋" w:eastAsia="仿宋" w:cs="华文仿宋"/>
                <w:sz w:val="24"/>
                <w:highlight w:val="none"/>
              </w:rPr>
            </w:pPr>
            <w:r>
              <w:rPr>
                <w:rFonts w:hint="eastAsia" w:ascii="仿宋" w:hAnsi="仿宋" w:eastAsia="仿宋" w:cs="华文仿宋"/>
                <w:sz w:val="24"/>
                <w:highlight w:val="none"/>
              </w:rPr>
              <w:t>8、邀请监督管理部门及有关部门现场监督；</w:t>
            </w:r>
          </w:p>
          <w:p>
            <w:pPr>
              <w:rPr>
                <w:rFonts w:ascii="仿宋" w:hAnsi="仿宋" w:eastAsia="仿宋" w:cs="华文仿宋"/>
                <w:sz w:val="24"/>
                <w:highlight w:val="none"/>
              </w:rPr>
            </w:pPr>
            <w:r>
              <w:rPr>
                <w:rFonts w:hint="eastAsia" w:ascii="仿宋" w:hAnsi="仿宋" w:eastAsia="仿宋" w:cs="华文仿宋"/>
                <w:sz w:val="24"/>
                <w:highlight w:val="none"/>
              </w:rPr>
              <w:t>9、主持开标会议，指定专人记录评标过程；</w:t>
            </w:r>
          </w:p>
          <w:p>
            <w:pPr>
              <w:rPr>
                <w:rFonts w:ascii="仿宋" w:hAnsi="仿宋" w:eastAsia="仿宋" w:cs="华文仿宋"/>
                <w:sz w:val="24"/>
                <w:highlight w:val="none"/>
              </w:rPr>
            </w:pPr>
            <w:r>
              <w:rPr>
                <w:rFonts w:hint="eastAsia" w:ascii="仿宋" w:hAnsi="仿宋" w:eastAsia="仿宋" w:cs="华文仿宋"/>
                <w:sz w:val="24"/>
                <w:highlight w:val="none"/>
              </w:rPr>
              <w:t>10、组织评标工作；</w:t>
            </w:r>
          </w:p>
          <w:p>
            <w:pPr>
              <w:rPr>
                <w:rFonts w:ascii="仿宋" w:hAnsi="仿宋" w:eastAsia="仿宋" w:cs="华文仿宋"/>
                <w:sz w:val="24"/>
                <w:highlight w:val="none"/>
              </w:rPr>
            </w:pPr>
            <w:r>
              <w:rPr>
                <w:rFonts w:hint="eastAsia" w:ascii="仿宋" w:hAnsi="仿宋" w:eastAsia="仿宋" w:cs="华文仿宋"/>
                <w:sz w:val="24"/>
                <w:highlight w:val="none"/>
              </w:rPr>
              <w:t>11、根据评标委员会推荐的中标候选人名单直接确定中标供应商；</w:t>
            </w:r>
          </w:p>
          <w:p>
            <w:pPr>
              <w:rPr>
                <w:rFonts w:ascii="仿宋" w:hAnsi="仿宋" w:eastAsia="仿宋" w:cs="华文仿宋"/>
                <w:sz w:val="24"/>
                <w:highlight w:val="none"/>
              </w:rPr>
            </w:pPr>
            <w:r>
              <w:rPr>
                <w:rFonts w:hint="eastAsia" w:ascii="仿宋" w:hAnsi="仿宋" w:eastAsia="仿宋" w:cs="华文仿宋"/>
                <w:sz w:val="24"/>
                <w:highlight w:val="none"/>
              </w:rPr>
              <w:t>12、整理评标报告送采购人；</w:t>
            </w:r>
          </w:p>
          <w:p>
            <w:pPr>
              <w:rPr>
                <w:rFonts w:ascii="仿宋" w:hAnsi="仿宋" w:eastAsia="仿宋" w:cs="华文仿宋"/>
                <w:sz w:val="24"/>
                <w:highlight w:val="none"/>
              </w:rPr>
            </w:pPr>
            <w:r>
              <w:rPr>
                <w:rFonts w:hint="eastAsia" w:ascii="仿宋" w:hAnsi="仿宋" w:eastAsia="仿宋" w:cs="华文仿宋"/>
                <w:sz w:val="24"/>
                <w:highlight w:val="none"/>
              </w:rPr>
              <w:t>13、发出中标通知书；</w:t>
            </w:r>
          </w:p>
          <w:p>
            <w:pPr>
              <w:rPr>
                <w:rFonts w:ascii="仿宋" w:hAnsi="仿宋" w:eastAsia="仿宋" w:cs="华文仿宋"/>
                <w:sz w:val="24"/>
                <w:highlight w:val="none"/>
              </w:rPr>
            </w:pPr>
            <w:r>
              <w:rPr>
                <w:rFonts w:hint="eastAsia" w:ascii="仿宋" w:hAnsi="仿宋" w:eastAsia="仿宋" w:cs="华文仿宋"/>
                <w:sz w:val="24"/>
                <w:highlight w:val="none"/>
              </w:rPr>
              <w:t>14、在指定媒体上发布中标公告；</w:t>
            </w:r>
          </w:p>
          <w:p>
            <w:pPr>
              <w:rPr>
                <w:rFonts w:ascii="仿宋" w:hAnsi="仿宋" w:eastAsia="仿宋" w:cs="华文仿宋"/>
                <w:sz w:val="24"/>
                <w:highlight w:val="none"/>
              </w:rPr>
            </w:pPr>
            <w:r>
              <w:rPr>
                <w:rFonts w:hint="eastAsia" w:ascii="仿宋" w:hAnsi="仿宋" w:eastAsia="仿宋" w:cs="华文仿宋"/>
                <w:sz w:val="24"/>
                <w:highlight w:val="none"/>
              </w:rPr>
              <w:t>15、保存全过程资料及未中标投标人响应文件等(含招标文件、投标文件及供应商承诺与报价PDF电子版文件)；</w:t>
            </w:r>
          </w:p>
          <w:p>
            <w:pPr>
              <w:rPr>
                <w:rFonts w:ascii="仿宋" w:hAnsi="仿宋" w:eastAsia="仿宋" w:cs="华文仿宋"/>
                <w:sz w:val="24"/>
                <w:highlight w:val="none"/>
              </w:rPr>
            </w:pPr>
            <w:r>
              <w:rPr>
                <w:rFonts w:hint="eastAsia" w:ascii="仿宋" w:hAnsi="仿宋" w:eastAsia="仿宋" w:cs="华文仿宋"/>
                <w:sz w:val="24"/>
                <w:highlight w:val="none"/>
              </w:rPr>
              <w:t>16、其它服务。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79" w:type="dxa"/>
            <w:vAlign w:val="center"/>
          </w:tcPr>
          <w:p>
            <w:pPr>
              <w:jc w:val="center"/>
              <w:rPr>
                <w:rFonts w:hint="eastAsia" w:ascii="仿宋" w:hAnsi="仿宋" w:eastAsia="仿宋" w:cs="华文仿宋"/>
                <w:sz w:val="28"/>
                <w:szCs w:val="28"/>
                <w:highlight w:val="none"/>
              </w:rPr>
            </w:pPr>
            <w:r>
              <w:rPr>
                <w:rFonts w:hint="eastAsia" w:ascii="仿宋" w:hAnsi="仿宋" w:eastAsia="仿宋" w:cs="华文仿宋"/>
                <w:sz w:val="28"/>
                <w:szCs w:val="28"/>
                <w:highlight w:val="none"/>
                <w:lang w:val="en-US" w:eastAsia="zh-CN"/>
              </w:rPr>
              <w:t>11</w:t>
            </w:r>
          </w:p>
        </w:tc>
        <w:tc>
          <w:tcPr>
            <w:tcW w:w="1830" w:type="dxa"/>
            <w:vAlign w:val="center"/>
          </w:tcPr>
          <w:p>
            <w:pPr>
              <w:rPr>
                <w:rFonts w:hint="eastAsia" w:ascii="仿宋" w:hAnsi="仿宋" w:eastAsia="仿宋" w:cs="华文仿宋"/>
                <w:sz w:val="24"/>
                <w:highlight w:val="none"/>
              </w:rPr>
            </w:pPr>
            <w:r>
              <w:rPr>
                <w:rFonts w:hint="eastAsia" w:ascii="仿宋" w:hAnsi="仿宋" w:eastAsia="仿宋" w:cs="华文仿宋"/>
                <w:sz w:val="24"/>
                <w:highlight w:val="none"/>
                <w:lang w:eastAsia="zh-CN"/>
              </w:rPr>
              <w:t>疫情防控要求</w:t>
            </w:r>
          </w:p>
        </w:tc>
        <w:tc>
          <w:tcPr>
            <w:tcW w:w="6314" w:type="dxa"/>
            <w:vAlign w:val="center"/>
          </w:tcPr>
          <w:p>
            <w:pPr>
              <w:rPr>
                <w:rFonts w:hint="default" w:ascii="仿宋" w:hAnsi="仿宋" w:eastAsia="仿宋" w:cs="华文仿宋"/>
                <w:sz w:val="24"/>
                <w:highlight w:val="none"/>
                <w:lang w:val="en-US"/>
              </w:rPr>
            </w:pPr>
            <w:r>
              <w:rPr>
                <w:rFonts w:hint="eastAsia" w:ascii="仿宋" w:hAnsi="仿宋" w:eastAsia="仿宋" w:cs="华文仿宋"/>
                <w:sz w:val="24"/>
                <w:highlight w:val="none"/>
                <w:lang w:eastAsia="zh-CN"/>
              </w:rPr>
              <w:t>请各申请人按照贵阳市以及贵州商学院疫情防控要求做好防疫措施。严格落实测温、验码、登记、戴口罩等要求，</w:t>
            </w:r>
            <w:r>
              <w:rPr>
                <w:rFonts w:hint="eastAsia" w:ascii="仿宋" w:hAnsi="仿宋" w:eastAsia="仿宋" w:cs="华文仿宋"/>
                <w:sz w:val="24"/>
                <w:highlight w:val="none"/>
                <w:lang w:val="en-US" w:eastAsia="zh-CN"/>
              </w:rPr>
              <w:t>近</w:t>
            </w:r>
            <w:r>
              <w:rPr>
                <w:rFonts w:hint="eastAsia" w:ascii="仿宋" w:hAnsi="仿宋" w:eastAsia="仿宋" w:cs="华文仿宋"/>
                <w:sz w:val="24"/>
                <w:highlight w:val="none"/>
                <w:lang w:eastAsia="zh-CN"/>
              </w:rPr>
              <w:t>14天有省外旅居史的持有24小时内核酸检测阴性证明和《个人防疫情况申报表》（</w:t>
            </w:r>
            <w:r>
              <w:rPr>
                <w:rFonts w:hint="eastAsia" w:ascii="仿宋" w:hAnsi="仿宋" w:eastAsia="仿宋" w:cs="华文仿宋"/>
                <w:sz w:val="24"/>
                <w:highlight w:val="none"/>
                <w:lang w:val="en-US" w:eastAsia="zh-CN"/>
              </w:rPr>
              <w:t>附后</w:t>
            </w:r>
            <w:r>
              <w:rPr>
                <w:rFonts w:hint="eastAsia" w:ascii="仿宋" w:hAnsi="仿宋" w:eastAsia="仿宋" w:cs="华文仿宋"/>
                <w:sz w:val="24"/>
                <w:highlight w:val="none"/>
                <w:lang w:eastAsia="zh-CN"/>
              </w:rPr>
              <w:t>），近14天没有省外旅居史的持有48小时内核酸检测阴性证明。</w:t>
            </w:r>
          </w:p>
        </w:tc>
      </w:tr>
      <w:bookmarkEnd w:id="0"/>
    </w:tbl>
    <w:p>
      <w:pPr>
        <w:outlineLvl w:val="0"/>
        <w:rPr>
          <w:rFonts w:ascii="仿宋" w:hAnsi="仿宋" w:eastAsia="仿宋" w:cs="仿宋"/>
          <w:b/>
        </w:rPr>
      </w:pPr>
    </w:p>
    <w:p>
      <w:pPr>
        <w:outlineLvl w:val="0"/>
        <w:rPr>
          <w:rFonts w:hint="eastAsia" w:ascii="仿宋" w:hAnsi="仿宋" w:eastAsia="仿宋" w:cs="仿宋"/>
          <w:b/>
          <w:lang w:eastAsia="zh-CN"/>
        </w:rPr>
      </w:pPr>
      <w:r>
        <w:rPr>
          <w:rFonts w:hint="eastAsia" w:ascii="仿宋" w:hAnsi="仿宋" w:eastAsia="仿宋" w:cs="仿宋"/>
          <w:b/>
          <w:lang w:eastAsia="zh-CN"/>
        </w:rPr>
        <w:drawing>
          <wp:inline distT="0" distB="0" distL="114300" distR="114300">
            <wp:extent cx="5272405" cy="7433945"/>
            <wp:effectExtent l="0" t="0" r="4445" b="14605"/>
            <wp:docPr id="1" name="图片 1" descr="QQ截图2022032912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20329124610"/>
                    <pic:cNvPicPr>
                      <a:picLocks noChangeAspect="1"/>
                    </pic:cNvPicPr>
                  </pic:nvPicPr>
                  <pic:blipFill>
                    <a:blip r:embed="rId4"/>
                    <a:stretch>
                      <a:fillRect/>
                    </a:stretch>
                  </pic:blipFill>
                  <pic:spPr>
                    <a:xfrm>
                      <a:off x="0" y="0"/>
                      <a:ext cx="5272405" cy="74339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B"/>
    <w:rsid w:val="000C5C7E"/>
    <w:rsid w:val="00157F8C"/>
    <w:rsid w:val="00165B77"/>
    <w:rsid w:val="0019132D"/>
    <w:rsid w:val="001A7586"/>
    <w:rsid w:val="001D64A5"/>
    <w:rsid w:val="00277119"/>
    <w:rsid w:val="00297519"/>
    <w:rsid w:val="002A4603"/>
    <w:rsid w:val="002E244E"/>
    <w:rsid w:val="002E6175"/>
    <w:rsid w:val="002E6754"/>
    <w:rsid w:val="002F29BF"/>
    <w:rsid w:val="00357EA9"/>
    <w:rsid w:val="0036769E"/>
    <w:rsid w:val="00476B86"/>
    <w:rsid w:val="00491D6F"/>
    <w:rsid w:val="005505EE"/>
    <w:rsid w:val="0058721C"/>
    <w:rsid w:val="005A3E9B"/>
    <w:rsid w:val="006C3D22"/>
    <w:rsid w:val="0078629E"/>
    <w:rsid w:val="007C3EE9"/>
    <w:rsid w:val="00846489"/>
    <w:rsid w:val="00863E09"/>
    <w:rsid w:val="00865804"/>
    <w:rsid w:val="008950EB"/>
    <w:rsid w:val="008B369B"/>
    <w:rsid w:val="0091595B"/>
    <w:rsid w:val="009D7C02"/>
    <w:rsid w:val="009F1D9F"/>
    <w:rsid w:val="00A0271D"/>
    <w:rsid w:val="00A23E52"/>
    <w:rsid w:val="00A2432F"/>
    <w:rsid w:val="00A36A41"/>
    <w:rsid w:val="00A500DB"/>
    <w:rsid w:val="00AB6C89"/>
    <w:rsid w:val="00B042AA"/>
    <w:rsid w:val="00BE3D54"/>
    <w:rsid w:val="00BF19A9"/>
    <w:rsid w:val="00C03A9F"/>
    <w:rsid w:val="00C520A2"/>
    <w:rsid w:val="00CF7078"/>
    <w:rsid w:val="00D06B3A"/>
    <w:rsid w:val="00D508DF"/>
    <w:rsid w:val="00D52594"/>
    <w:rsid w:val="00D63D52"/>
    <w:rsid w:val="00D945AA"/>
    <w:rsid w:val="00DA44A7"/>
    <w:rsid w:val="00DC0F82"/>
    <w:rsid w:val="00E61356"/>
    <w:rsid w:val="00EE6366"/>
    <w:rsid w:val="00F0375D"/>
    <w:rsid w:val="00F17CE1"/>
    <w:rsid w:val="00F81641"/>
    <w:rsid w:val="00F9232A"/>
    <w:rsid w:val="00FA7BF9"/>
    <w:rsid w:val="0F410F3D"/>
    <w:rsid w:val="14164D9C"/>
    <w:rsid w:val="1CF25159"/>
    <w:rsid w:val="29757B67"/>
    <w:rsid w:val="2D594865"/>
    <w:rsid w:val="2F6A333D"/>
    <w:rsid w:val="3851649C"/>
    <w:rsid w:val="397608A9"/>
    <w:rsid w:val="470253FE"/>
    <w:rsid w:val="58967F97"/>
    <w:rsid w:val="5BCF0A61"/>
    <w:rsid w:val="609B0EF7"/>
    <w:rsid w:val="62481957"/>
    <w:rsid w:val="6EBD1EA4"/>
    <w:rsid w:val="751B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1397</Words>
  <Characters>1464</Characters>
  <Lines>9</Lines>
  <Paragraphs>2</Paragraphs>
  <TotalTime>41</TotalTime>
  <ScaleCrop>false</ScaleCrop>
  <LinksUpToDate>false</LinksUpToDate>
  <CharactersWithSpaces>1472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Administrator</cp:lastModifiedBy>
  <cp:lastPrinted>2021-03-01T05:52:00Z</cp:lastPrinted>
  <dcterms:modified xsi:type="dcterms:W3CDTF">2022-04-15T03:27:39Z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3B86D11A63F04B6CA93D0FCDD56C3F8D</vt:lpwstr>
  </property>
</Properties>
</file>